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7AE1A" w14:textId="77777777" w:rsidR="00BB367B" w:rsidRPr="00A14595" w:rsidRDefault="00FC1CCD" w:rsidP="008C6FFD">
      <w:pPr>
        <w:spacing w:after="0" w:line="259" w:lineRule="auto"/>
        <w:jc w:val="center"/>
        <w:rPr>
          <w:rFonts w:ascii="Arial" w:hAnsi="Arial" w:cs="Arial"/>
          <w:b/>
          <w:u w:val="single"/>
        </w:rPr>
      </w:pPr>
      <w:r w:rsidRPr="00A14595">
        <w:rPr>
          <w:rFonts w:ascii="Arial" w:hAnsi="Arial" w:cs="Arial"/>
          <w:b/>
          <w:u w:val="single"/>
        </w:rPr>
        <w:t>Corporate Brief: Amendments to Insolvency and Bankruptcy Code, 2016</w:t>
      </w:r>
    </w:p>
    <w:p w14:paraId="531DA4CB" w14:textId="58F2D84B" w:rsidR="005970BD" w:rsidRPr="005970BD" w:rsidRDefault="005970BD" w:rsidP="008C6FFD">
      <w:pPr>
        <w:autoSpaceDE w:val="0"/>
        <w:autoSpaceDN w:val="0"/>
        <w:adjustRightInd w:val="0"/>
        <w:spacing w:after="0" w:line="240" w:lineRule="auto"/>
        <w:jc w:val="both"/>
        <w:rPr>
          <w:rFonts w:ascii="Arial" w:hAnsi="Arial" w:cs="Arial"/>
          <w:i/>
          <w:color w:val="231F20"/>
        </w:rPr>
      </w:pPr>
      <w:r>
        <w:rPr>
          <w:rFonts w:ascii="Arial" w:hAnsi="Arial" w:cs="Arial"/>
        </w:rPr>
        <w:br/>
      </w:r>
      <w:proofErr w:type="spellStart"/>
      <w:r w:rsidRPr="005970BD">
        <w:rPr>
          <w:rFonts w:ascii="Arial" w:hAnsi="Arial" w:cs="Arial"/>
          <w:i/>
          <w:color w:val="231F20"/>
        </w:rPr>
        <w:t>Astha</w:t>
      </w:r>
      <w:proofErr w:type="spellEnd"/>
      <w:r w:rsidRPr="005970BD">
        <w:rPr>
          <w:rFonts w:ascii="Arial" w:hAnsi="Arial" w:cs="Arial"/>
          <w:i/>
          <w:color w:val="231F20"/>
        </w:rPr>
        <w:t xml:space="preserve"> Srivastava, Senior </w:t>
      </w:r>
      <w:bookmarkStart w:id="0" w:name="_GoBack"/>
      <w:bookmarkEnd w:id="0"/>
      <w:r w:rsidRPr="005970BD">
        <w:rPr>
          <w:rFonts w:ascii="Arial" w:hAnsi="Arial" w:cs="Arial"/>
          <w:i/>
          <w:color w:val="231F20"/>
        </w:rPr>
        <w:t xml:space="preserve">Associate, Aureus Law Partners. </w:t>
      </w:r>
    </w:p>
    <w:p w14:paraId="3347EB92" w14:textId="77777777" w:rsidR="005970BD" w:rsidRDefault="005970BD" w:rsidP="008C6FFD">
      <w:pPr>
        <w:autoSpaceDE w:val="0"/>
        <w:autoSpaceDN w:val="0"/>
        <w:adjustRightInd w:val="0"/>
        <w:spacing w:after="0" w:line="240" w:lineRule="auto"/>
        <w:jc w:val="both"/>
        <w:rPr>
          <w:rFonts w:ascii="Arial" w:hAnsi="Arial" w:cs="Arial"/>
          <w:color w:val="231F20"/>
        </w:rPr>
      </w:pPr>
    </w:p>
    <w:p w14:paraId="6DEFAB56" w14:textId="77777777" w:rsidR="00EF4918" w:rsidRPr="00A14595" w:rsidRDefault="003F7476" w:rsidP="008C6FFD">
      <w:pPr>
        <w:autoSpaceDE w:val="0"/>
        <w:autoSpaceDN w:val="0"/>
        <w:adjustRightInd w:val="0"/>
        <w:spacing w:after="0" w:line="240" w:lineRule="auto"/>
        <w:jc w:val="both"/>
        <w:rPr>
          <w:rFonts w:ascii="Arial" w:hAnsi="Arial" w:cs="Arial"/>
          <w:color w:val="231F20"/>
        </w:rPr>
      </w:pPr>
      <w:r w:rsidRPr="00A14595">
        <w:rPr>
          <w:rFonts w:ascii="Arial" w:hAnsi="Arial" w:cs="Arial"/>
          <w:color w:val="231F20"/>
        </w:rPr>
        <w:t xml:space="preserve">The Insolvency and Bankruptcy Code, 2016 (the </w:t>
      </w:r>
      <w:r w:rsidRPr="00A14595">
        <w:rPr>
          <w:rFonts w:ascii="Arial" w:hAnsi="Arial" w:cs="Arial"/>
          <w:b/>
          <w:color w:val="231F20"/>
        </w:rPr>
        <w:t>“Code”</w:t>
      </w:r>
      <w:r w:rsidRPr="00A14595">
        <w:rPr>
          <w:rFonts w:ascii="Arial" w:hAnsi="Arial" w:cs="Arial"/>
          <w:color w:val="231F20"/>
        </w:rPr>
        <w:t xml:space="preserve">) was enacted, </w:t>
      </w:r>
      <w:r w:rsidRPr="00A14595">
        <w:rPr>
          <w:rFonts w:ascii="Arial" w:hAnsi="Arial" w:cs="Arial"/>
          <w:i/>
          <w:iCs/>
          <w:color w:val="231F20"/>
        </w:rPr>
        <w:t>inter alia</w:t>
      </w:r>
      <w:r w:rsidRPr="00A14595">
        <w:rPr>
          <w:rFonts w:ascii="Arial" w:hAnsi="Arial" w:cs="Arial"/>
          <w:color w:val="231F20"/>
        </w:rPr>
        <w:t>, to consolidate and amend the laws relating to reorganisation and insolvency resolution of corporate persons, partnership firms and individuals in a time bound manner.</w:t>
      </w:r>
      <w:r w:rsidRPr="00A14595">
        <w:rPr>
          <w:rFonts w:ascii="Arial" w:hAnsi="Arial" w:cs="Arial"/>
        </w:rPr>
        <w:t xml:space="preserve"> </w:t>
      </w:r>
      <w:r w:rsidR="003F5011" w:rsidRPr="00A14595">
        <w:rPr>
          <w:rFonts w:ascii="Arial" w:hAnsi="Arial" w:cs="Arial"/>
        </w:rPr>
        <w:t xml:space="preserve">The </w:t>
      </w:r>
      <w:r w:rsidRPr="00A14595">
        <w:rPr>
          <w:rFonts w:ascii="Arial" w:hAnsi="Arial" w:cs="Arial"/>
          <w:color w:val="231F20"/>
        </w:rPr>
        <w:t>provisions for insolvency resolution and liquidation of a corporate person in the Code did not restrict or bar any person from submitting a re</w:t>
      </w:r>
      <w:r w:rsidR="003F5011" w:rsidRPr="00A14595">
        <w:rPr>
          <w:rFonts w:ascii="Arial" w:hAnsi="Arial" w:cs="Arial"/>
          <w:color w:val="231F20"/>
        </w:rPr>
        <w:t xml:space="preserve">solution plan or participating </w:t>
      </w:r>
      <w:r w:rsidRPr="00A14595">
        <w:rPr>
          <w:rFonts w:ascii="Arial" w:hAnsi="Arial" w:cs="Arial"/>
          <w:color w:val="231F20"/>
        </w:rPr>
        <w:t>in the acquisition process of the assets of a comp</w:t>
      </w:r>
      <w:r w:rsidR="00EF4918" w:rsidRPr="00A14595">
        <w:rPr>
          <w:rFonts w:ascii="Arial" w:hAnsi="Arial" w:cs="Arial"/>
          <w:color w:val="231F20"/>
        </w:rPr>
        <w:t xml:space="preserve">any at the time of liquidation. </w:t>
      </w:r>
      <w:r w:rsidR="003F5011" w:rsidRPr="00A14595">
        <w:rPr>
          <w:rFonts w:ascii="Arial" w:hAnsi="Arial" w:cs="Arial"/>
          <w:color w:val="231F20"/>
        </w:rPr>
        <w:t xml:space="preserve">Therefore, it was point of concern that defaulting promoters/ wilful defaulters </w:t>
      </w:r>
      <w:r w:rsidRPr="00A14595">
        <w:rPr>
          <w:rFonts w:ascii="Arial" w:hAnsi="Arial" w:cs="Arial"/>
          <w:color w:val="231F20"/>
        </w:rPr>
        <w:t>may misuse this situation a</w:t>
      </w:r>
      <w:r w:rsidR="003F5011" w:rsidRPr="00A14595">
        <w:rPr>
          <w:rFonts w:ascii="Arial" w:hAnsi="Arial" w:cs="Arial"/>
          <w:color w:val="231F20"/>
        </w:rPr>
        <w:t xml:space="preserve">nd gain or regain </w:t>
      </w:r>
      <w:r w:rsidRPr="00A14595">
        <w:rPr>
          <w:rFonts w:ascii="Arial" w:hAnsi="Arial" w:cs="Arial"/>
          <w:color w:val="231F20"/>
        </w:rPr>
        <w:t xml:space="preserve">control of the corporate debtor. </w:t>
      </w:r>
      <w:r w:rsidR="00467B98" w:rsidRPr="00A14595">
        <w:rPr>
          <w:rFonts w:ascii="Arial" w:hAnsi="Arial" w:cs="Arial"/>
          <w:color w:val="231F20"/>
        </w:rPr>
        <w:t>To address the issue of</w:t>
      </w:r>
      <w:r w:rsidRPr="00A14595">
        <w:rPr>
          <w:rFonts w:ascii="Arial" w:hAnsi="Arial" w:cs="Arial"/>
          <w:color w:val="231F20"/>
        </w:rPr>
        <w:t xml:space="preserve"> unscrupulous person </w:t>
      </w:r>
      <w:r w:rsidR="00467B98" w:rsidRPr="00A14595">
        <w:rPr>
          <w:rFonts w:ascii="Arial" w:hAnsi="Arial" w:cs="Arial"/>
          <w:color w:val="231F20"/>
        </w:rPr>
        <w:t>being</w:t>
      </w:r>
      <w:r w:rsidRPr="00A14595">
        <w:rPr>
          <w:rFonts w:ascii="Arial" w:hAnsi="Arial" w:cs="Arial"/>
          <w:color w:val="231F20"/>
        </w:rPr>
        <w:t xml:space="preserve"> rewar</w:t>
      </w:r>
      <w:r w:rsidR="00467B98" w:rsidRPr="00A14595">
        <w:rPr>
          <w:rFonts w:ascii="Arial" w:hAnsi="Arial" w:cs="Arial"/>
          <w:color w:val="231F20"/>
        </w:rPr>
        <w:t xml:space="preserve">ded at the expense of creditors an amendment to the Code was </w:t>
      </w:r>
      <w:r w:rsidR="00EF4918" w:rsidRPr="00A14595">
        <w:rPr>
          <w:rFonts w:ascii="Arial" w:hAnsi="Arial" w:cs="Arial"/>
          <w:color w:val="231F20"/>
        </w:rPr>
        <w:t>proposed.</w:t>
      </w:r>
    </w:p>
    <w:p w14:paraId="1E8CF915" w14:textId="77777777" w:rsidR="00EF4918" w:rsidRPr="00A14595" w:rsidRDefault="00EF4918" w:rsidP="008C6FFD">
      <w:pPr>
        <w:autoSpaceDE w:val="0"/>
        <w:autoSpaceDN w:val="0"/>
        <w:adjustRightInd w:val="0"/>
        <w:spacing w:after="0" w:line="240" w:lineRule="auto"/>
        <w:jc w:val="both"/>
        <w:rPr>
          <w:rFonts w:ascii="Arial" w:hAnsi="Arial" w:cs="Arial"/>
          <w:color w:val="231F20"/>
        </w:rPr>
      </w:pPr>
    </w:p>
    <w:p w14:paraId="213C5167" w14:textId="77777777" w:rsidR="008120A5" w:rsidRDefault="00467B98" w:rsidP="008C6FFD">
      <w:pPr>
        <w:autoSpaceDE w:val="0"/>
        <w:autoSpaceDN w:val="0"/>
        <w:adjustRightInd w:val="0"/>
        <w:spacing w:after="0" w:line="240" w:lineRule="auto"/>
        <w:jc w:val="both"/>
        <w:rPr>
          <w:rFonts w:ascii="Arial" w:hAnsi="Arial" w:cs="Arial"/>
          <w:color w:val="231F20"/>
        </w:rPr>
      </w:pPr>
      <w:r w:rsidRPr="00A14595">
        <w:rPr>
          <w:rFonts w:ascii="Arial" w:hAnsi="Arial" w:cs="Arial"/>
          <w:color w:val="231F20"/>
        </w:rPr>
        <w:t>Accordingly, Insolvency and Bankruptcy Code (Amendment) Ordinance, 2017 was promulgated</w:t>
      </w:r>
      <w:r w:rsidR="00EF4918" w:rsidRPr="00A14595">
        <w:rPr>
          <w:rFonts w:ascii="Arial" w:hAnsi="Arial" w:cs="Arial"/>
          <w:color w:val="231F20"/>
        </w:rPr>
        <w:t xml:space="preserve"> </w:t>
      </w:r>
      <w:r w:rsidRPr="00A14595">
        <w:rPr>
          <w:rFonts w:ascii="Arial" w:hAnsi="Arial" w:cs="Arial"/>
          <w:color w:val="231F20"/>
        </w:rPr>
        <w:t xml:space="preserve">by the President on November 23, 2017 as the Parliament was not in session. </w:t>
      </w:r>
      <w:r w:rsidR="00EF4918" w:rsidRPr="00A14595">
        <w:rPr>
          <w:rFonts w:ascii="Arial" w:hAnsi="Arial" w:cs="Arial"/>
          <w:color w:val="191919"/>
          <w:shd w:val="clear" w:color="auto" w:fill="FFFFFF"/>
        </w:rPr>
        <w:t xml:space="preserve">Since, an ordinance ceases to operate at the expiration of six weeks from the reassembly of the both Houses of the Parliament, the Government introduced the Insolvency and Bankruptcy Code (Amendment) Bill, 2017. This Bill was passed by Lok Sabha on December 29, 2017 and </w:t>
      </w:r>
      <w:proofErr w:type="spellStart"/>
      <w:r w:rsidR="00EF4918" w:rsidRPr="00A14595">
        <w:rPr>
          <w:rFonts w:ascii="Arial" w:hAnsi="Arial" w:cs="Arial"/>
          <w:color w:val="191919"/>
          <w:shd w:val="clear" w:color="auto" w:fill="FFFFFF"/>
        </w:rPr>
        <w:t>Rajya</w:t>
      </w:r>
      <w:proofErr w:type="spellEnd"/>
      <w:r w:rsidR="00EF4918" w:rsidRPr="00A14595">
        <w:rPr>
          <w:rFonts w:ascii="Arial" w:hAnsi="Arial" w:cs="Arial"/>
          <w:color w:val="191919"/>
          <w:shd w:val="clear" w:color="auto" w:fill="FFFFFF"/>
        </w:rPr>
        <w:t xml:space="preserve"> Sabha on January 2, 2018 as well as Presidential assent was received on January 18, 2018 and </w:t>
      </w:r>
      <w:r w:rsidR="00EF4918" w:rsidRPr="00A14595">
        <w:rPr>
          <w:rFonts w:ascii="Arial" w:hAnsi="Arial" w:cs="Arial"/>
          <w:color w:val="231F20"/>
        </w:rPr>
        <w:t xml:space="preserve">The Insolvency and Bankruptcy Code (Amendment) Bill, 2017came into force from November 23, 2017 (the </w:t>
      </w:r>
      <w:r w:rsidR="00EF4918" w:rsidRPr="00A14595">
        <w:rPr>
          <w:rFonts w:ascii="Arial" w:hAnsi="Arial" w:cs="Arial"/>
          <w:b/>
          <w:color w:val="231F20"/>
        </w:rPr>
        <w:t>“Amendment Act”</w:t>
      </w:r>
      <w:r w:rsidR="00EF4918" w:rsidRPr="00A14595">
        <w:rPr>
          <w:rFonts w:ascii="Arial" w:hAnsi="Arial" w:cs="Arial"/>
          <w:color w:val="231F20"/>
        </w:rPr>
        <w:t>)</w:t>
      </w:r>
      <w:r w:rsidR="00EF4918" w:rsidRPr="00A14595">
        <w:rPr>
          <w:rFonts w:ascii="Arial" w:hAnsi="Arial" w:cs="Arial"/>
          <w:color w:val="191919"/>
          <w:shd w:val="clear" w:color="auto" w:fill="FFFFFF"/>
        </w:rPr>
        <w:t>.</w:t>
      </w:r>
      <w:r w:rsidR="00EF4918" w:rsidRPr="00A14595">
        <w:rPr>
          <w:rFonts w:ascii="Arial" w:hAnsi="Arial" w:cs="Arial"/>
          <w:color w:val="231F20"/>
        </w:rPr>
        <w:t xml:space="preserve"> </w:t>
      </w:r>
    </w:p>
    <w:p w14:paraId="220BADCB" w14:textId="77777777" w:rsidR="008120A5" w:rsidRDefault="008120A5" w:rsidP="008C6FFD">
      <w:pPr>
        <w:autoSpaceDE w:val="0"/>
        <w:autoSpaceDN w:val="0"/>
        <w:adjustRightInd w:val="0"/>
        <w:spacing w:after="0" w:line="240" w:lineRule="auto"/>
        <w:jc w:val="both"/>
        <w:rPr>
          <w:rFonts w:ascii="Arial" w:hAnsi="Arial" w:cs="Arial"/>
          <w:color w:val="231F20"/>
        </w:rPr>
      </w:pPr>
    </w:p>
    <w:p w14:paraId="35170243" w14:textId="77777777" w:rsidR="00995692" w:rsidRPr="00A14595" w:rsidRDefault="00EF4918" w:rsidP="008C6FFD">
      <w:pPr>
        <w:autoSpaceDE w:val="0"/>
        <w:autoSpaceDN w:val="0"/>
        <w:adjustRightInd w:val="0"/>
        <w:spacing w:after="0" w:line="240" w:lineRule="auto"/>
        <w:jc w:val="both"/>
        <w:rPr>
          <w:rFonts w:ascii="Arial" w:hAnsi="Arial" w:cs="Arial"/>
          <w:color w:val="231F20"/>
        </w:rPr>
      </w:pPr>
      <w:r w:rsidRPr="00A14595">
        <w:rPr>
          <w:rFonts w:ascii="Arial" w:hAnsi="Arial" w:cs="Arial"/>
          <w:color w:val="231F20"/>
        </w:rPr>
        <w:t>We have provided a brief description of the</w:t>
      </w:r>
      <w:r w:rsidR="008120A5">
        <w:rPr>
          <w:rFonts w:ascii="Arial" w:hAnsi="Arial" w:cs="Arial"/>
          <w:color w:val="231F20"/>
        </w:rPr>
        <w:t xml:space="preserve"> key changes that the Amendment Act makes</w:t>
      </w:r>
      <w:r w:rsidRPr="00A14595">
        <w:rPr>
          <w:rFonts w:ascii="Arial" w:hAnsi="Arial" w:cs="Arial"/>
          <w:color w:val="231F20"/>
        </w:rPr>
        <w:t xml:space="preserve"> under various section heads</w:t>
      </w:r>
      <w:r w:rsidR="008120A5">
        <w:rPr>
          <w:rFonts w:ascii="Arial" w:hAnsi="Arial" w:cs="Arial"/>
          <w:color w:val="231F20"/>
        </w:rPr>
        <w:t xml:space="preserve"> as under</w:t>
      </w:r>
      <w:r w:rsidRPr="00A14595">
        <w:rPr>
          <w:rFonts w:ascii="Arial" w:hAnsi="Arial" w:cs="Arial"/>
          <w:color w:val="231F20"/>
        </w:rPr>
        <w:t>:</w:t>
      </w:r>
    </w:p>
    <w:p w14:paraId="4EBEA30C" w14:textId="77777777" w:rsidR="00D95A34" w:rsidRPr="00A14595" w:rsidRDefault="00D95A34" w:rsidP="008C6FFD">
      <w:pPr>
        <w:spacing w:after="0" w:line="259" w:lineRule="auto"/>
        <w:jc w:val="both"/>
        <w:rPr>
          <w:rFonts w:ascii="Arial" w:hAnsi="Arial" w:cs="Arial"/>
        </w:rPr>
      </w:pPr>
    </w:p>
    <w:p w14:paraId="0281F3FB" w14:textId="77777777" w:rsidR="00E85B91" w:rsidRPr="00A14595" w:rsidRDefault="00E85B91" w:rsidP="008C6FFD">
      <w:pPr>
        <w:pStyle w:val="ListParagraph"/>
        <w:numPr>
          <w:ilvl w:val="0"/>
          <w:numId w:val="8"/>
        </w:numPr>
        <w:spacing w:after="0" w:line="259" w:lineRule="auto"/>
        <w:ind w:left="709" w:hanging="709"/>
        <w:jc w:val="both"/>
        <w:rPr>
          <w:rFonts w:ascii="Arial" w:hAnsi="Arial" w:cs="Arial"/>
          <w:b/>
          <w:u w:val="single"/>
        </w:rPr>
      </w:pPr>
      <w:r w:rsidRPr="00A14595">
        <w:rPr>
          <w:rFonts w:ascii="Arial" w:hAnsi="Arial" w:cs="Arial"/>
          <w:b/>
          <w:color w:val="191919"/>
          <w:u w:val="single"/>
          <w:shd w:val="clear" w:color="auto" w:fill="FFFFFF"/>
        </w:rPr>
        <w:t>Widening the scope of Insolvency and Bankruptcy Code, 2016 (“Code”):</w:t>
      </w:r>
    </w:p>
    <w:p w14:paraId="4E7997E2" w14:textId="77777777" w:rsidR="00D95A34" w:rsidRPr="00A14595" w:rsidRDefault="00D95A34" w:rsidP="008C6FFD">
      <w:pPr>
        <w:spacing w:after="0" w:line="259" w:lineRule="auto"/>
        <w:jc w:val="both"/>
        <w:rPr>
          <w:rFonts w:ascii="Arial" w:hAnsi="Arial" w:cs="Arial"/>
          <w:color w:val="191919"/>
          <w:shd w:val="clear" w:color="auto" w:fill="FFFFFF"/>
        </w:rPr>
      </w:pPr>
    </w:p>
    <w:p w14:paraId="29C49FAF" w14:textId="77777777" w:rsidR="002C50AC" w:rsidRPr="00A14595" w:rsidRDefault="00E85B91" w:rsidP="008C6FFD">
      <w:pPr>
        <w:spacing w:after="0" w:line="259" w:lineRule="auto"/>
        <w:jc w:val="both"/>
        <w:rPr>
          <w:rFonts w:ascii="Arial" w:hAnsi="Arial" w:cs="Arial"/>
        </w:rPr>
      </w:pPr>
      <w:r w:rsidRPr="00A14595">
        <w:rPr>
          <w:rFonts w:ascii="Arial" w:hAnsi="Arial" w:cs="Arial"/>
          <w:color w:val="191919"/>
          <w:shd w:val="clear" w:color="auto" w:fill="FFFFFF"/>
        </w:rPr>
        <w:t xml:space="preserve">The Code </w:t>
      </w:r>
      <w:r w:rsidR="002C50AC" w:rsidRPr="00A14595">
        <w:rPr>
          <w:rFonts w:ascii="Arial" w:hAnsi="Arial" w:cs="Arial"/>
          <w:color w:val="191919"/>
          <w:shd w:val="clear" w:color="auto" w:fill="FFFFFF"/>
        </w:rPr>
        <w:t>would also apply to the following:</w:t>
      </w:r>
    </w:p>
    <w:p w14:paraId="772EBA3D" w14:textId="77777777" w:rsidR="008B64A9" w:rsidRPr="00A14595" w:rsidRDefault="002C50AC" w:rsidP="008C6FFD">
      <w:pPr>
        <w:pStyle w:val="ListParagraph"/>
        <w:numPr>
          <w:ilvl w:val="0"/>
          <w:numId w:val="7"/>
        </w:numPr>
        <w:spacing w:after="0" w:line="259" w:lineRule="auto"/>
        <w:ind w:left="709" w:hanging="709"/>
        <w:jc w:val="both"/>
        <w:rPr>
          <w:rFonts w:ascii="Arial" w:hAnsi="Arial" w:cs="Arial"/>
        </w:rPr>
      </w:pPr>
      <w:r w:rsidRPr="00A14595">
        <w:rPr>
          <w:rFonts w:ascii="Arial" w:hAnsi="Arial" w:cs="Arial"/>
          <w:color w:val="191919"/>
          <w:shd w:val="clear" w:color="auto" w:fill="FFFFFF"/>
        </w:rPr>
        <w:t>personal guarantors to corporate debtors;</w:t>
      </w:r>
    </w:p>
    <w:p w14:paraId="56ABA2CE" w14:textId="77777777" w:rsidR="008B64A9" w:rsidRPr="00A14595" w:rsidRDefault="002C50AC" w:rsidP="008C6FFD">
      <w:pPr>
        <w:pStyle w:val="ListParagraph"/>
        <w:numPr>
          <w:ilvl w:val="0"/>
          <w:numId w:val="7"/>
        </w:numPr>
        <w:spacing w:after="0" w:line="259" w:lineRule="auto"/>
        <w:ind w:left="709" w:hanging="709"/>
        <w:jc w:val="both"/>
        <w:rPr>
          <w:rFonts w:ascii="Arial" w:hAnsi="Arial" w:cs="Arial"/>
        </w:rPr>
      </w:pPr>
      <w:r w:rsidRPr="00A14595">
        <w:rPr>
          <w:rFonts w:ascii="Arial" w:hAnsi="Arial" w:cs="Arial"/>
          <w:color w:val="191919"/>
          <w:shd w:val="clear" w:color="auto" w:fill="FFFFFF"/>
        </w:rPr>
        <w:t>partnership firms and proprietorship firms; and</w:t>
      </w:r>
    </w:p>
    <w:p w14:paraId="1191A15D" w14:textId="77777777" w:rsidR="002C50AC" w:rsidRPr="00A14595" w:rsidRDefault="002C50AC" w:rsidP="008C6FFD">
      <w:pPr>
        <w:pStyle w:val="ListParagraph"/>
        <w:numPr>
          <w:ilvl w:val="0"/>
          <w:numId w:val="7"/>
        </w:numPr>
        <w:spacing w:after="0" w:line="259" w:lineRule="auto"/>
        <w:ind w:left="709" w:hanging="709"/>
        <w:jc w:val="both"/>
        <w:rPr>
          <w:rFonts w:ascii="Arial" w:hAnsi="Arial" w:cs="Arial"/>
        </w:rPr>
      </w:pPr>
      <w:r w:rsidRPr="00A14595">
        <w:rPr>
          <w:rFonts w:ascii="Arial" w:hAnsi="Arial" w:cs="Arial"/>
          <w:color w:val="191919"/>
          <w:shd w:val="clear" w:color="auto" w:fill="FFFFFF"/>
        </w:rPr>
        <w:t>individuals (other than personal guarantors)</w:t>
      </w:r>
    </w:p>
    <w:p w14:paraId="1AE82F2D" w14:textId="77777777" w:rsidR="008120A5" w:rsidRDefault="008120A5" w:rsidP="008120A5">
      <w:pPr>
        <w:spacing w:after="0" w:line="259" w:lineRule="auto"/>
        <w:jc w:val="both"/>
        <w:rPr>
          <w:rFonts w:ascii="Arial" w:hAnsi="Arial" w:cs="Arial"/>
        </w:rPr>
      </w:pPr>
    </w:p>
    <w:p w14:paraId="58668246" w14:textId="77777777" w:rsidR="008120A5" w:rsidRDefault="008120A5" w:rsidP="008120A5">
      <w:pPr>
        <w:spacing w:after="0" w:line="259" w:lineRule="auto"/>
        <w:jc w:val="both"/>
        <w:rPr>
          <w:rFonts w:ascii="Arial" w:hAnsi="Arial" w:cs="Arial"/>
        </w:rPr>
      </w:pPr>
      <w:r>
        <w:rPr>
          <w:rFonts w:ascii="Arial" w:hAnsi="Arial" w:cs="Arial"/>
        </w:rPr>
        <w:t>However, t</w:t>
      </w:r>
      <w:r w:rsidR="005B0529">
        <w:rPr>
          <w:rFonts w:ascii="Arial" w:hAnsi="Arial" w:cs="Arial"/>
        </w:rPr>
        <w:t xml:space="preserve">ill date regulations in relation to partnership firms, proprietorship firms and individuals have not been released. </w:t>
      </w:r>
    </w:p>
    <w:p w14:paraId="6FA0A8B8" w14:textId="77777777" w:rsidR="005B0529" w:rsidRPr="008120A5" w:rsidRDefault="005B0529" w:rsidP="008120A5">
      <w:pPr>
        <w:spacing w:after="0" w:line="259" w:lineRule="auto"/>
        <w:jc w:val="both"/>
        <w:rPr>
          <w:rFonts w:ascii="Arial" w:hAnsi="Arial" w:cs="Arial"/>
        </w:rPr>
      </w:pPr>
    </w:p>
    <w:p w14:paraId="01758D43" w14:textId="77777777" w:rsidR="008B64A9" w:rsidRPr="00A14595" w:rsidRDefault="008B64A9" w:rsidP="008C6FFD">
      <w:pPr>
        <w:pStyle w:val="ListParagraph"/>
        <w:numPr>
          <w:ilvl w:val="0"/>
          <w:numId w:val="8"/>
        </w:numPr>
        <w:spacing w:after="0" w:line="259" w:lineRule="auto"/>
        <w:ind w:left="709" w:hanging="709"/>
        <w:jc w:val="both"/>
        <w:rPr>
          <w:rFonts w:ascii="Arial" w:hAnsi="Arial" w:cs="Arial"/>
          <w:b/>
          <w:u w:val="single"/>
        </w:rPr>
      </w:pPr>
      <w:r w:rsidRPr="00A14595">
        <w:rPr>
          <w:rFonts w:ascii="Arial" w:hAnsi="Arial" w:cs="Arial"/>
          <w:b/>
          <w:color w:val="191919"/>
          <w:u w:val="single"/>
          <w:shd w:val="clear" w:color="auto" w:fill="FFFFFF"/>
        </w:rPr>
        <w:t>Definition</w:t>
      </w:r>
      <w:r w:rsidR="002857D9" w:rsidRPr="00A14595">
        <w:rPr>
          <w:rFonts w:ascii="Arial" w:hAnsi="Arial" w:cs="Arial"/>
          <w:b/>
          <w:u w:val="single"/>
        </w:rPr>
        <w:t xml:space="preserve"> of resolution a</w:t>
      </w:r>
      <w:r w:rsidR="00E85B91" w:rsidRPr="00A14595">
        <w:rPr>
          <w:rFonts w:ascii="Arial" w:hAnsi="Arial" w:cs="Arial"/>
          <w:b/>
          <w:u w:val="single"/>
        </w:rPr>
        <w:t>pplicant</w:t>
      </w:r>
    </w:p>
    <w:p w14:paraId="15B904E8" w14:textId="77777777" w:rsidR="00D95A34" w:rsidRPr="00A14595" w:rsidRDefault="00D95A34" w:rsidP="008C6FFD">
      <w:pPr>
        <w:autoSpaceDE w:val="0"/>
        <w:autoSpaceDN w:val="0"/>
        <w:adjustRightInd w:val="0"/>
        <w:spacing w:after="0" w:line="259" w:lineRule="auto"/>
        <w:jc w:val="both"/>
        <w:rPr>
          <w:rFonts w:ascii="Arial" w:hAnsi="Arial" w:cs="Arial"/>
          <w:color w:val="231F20"/>
        </w:rPr>
      </w:pPr>
    </w:p>
    <w:p w14:paraId="75FDE948" w14:textId="77777777" w:rsidR="008B64A9" w:rsidRPr="00A14595" w:rsidRDefault="008B64A9" w:rsidP="008C6FFD">
      <w:pPr>
        <w:autoSpaceDE w:val="0"/>
        <w:autoSpaceDN w:val="0"/>
        <w:adjustRightInd w:val="0"/>
        <w:spacing w:after="0" w:line="259" w:lineRule="auto"/>
        <w:jc w:val="both"/>
        <w:rPr>
          <w:rFonts w:ascii="Arial" w:hAnsi="Arial" w:cs="Arial"/>
          <w:color w:val="231F20"/>
        </w:rPr>
      </w:pPr>
      <w:r w:rsidRPr="00A14595">
        <w:rPr>
          <w:rFonts w:ascii="Arial" w:hAnsi="Arial" w:cs="Arial"/>
          <w:color w:val="231F20"/>
        </w:rPr>
        <w:t>Definition of resolution applicant has been amended to include a person, who individually or jointly with any other person, submits a resolution plan to the resolution professional pursuant to the invitation made under clause (</w:t>
      </w:r>
      <w:r w:rsidRPr="00A14595">
        <w:rPr>
          <w:rFonts w:ascii="Arial" w:hAnsi="Arial" w:cs="Arial"/>
          <w:iCs/>
          <w:color w:val="231F20"/>
        </w:rPr>
        <w:t>h</w:t>
      </w:r>
      <w:r w:rsidRPr="00A14595">
        <w:rPr>
          <w:rFonts w:ascii="Arial" w:hAnsi="Arial" w:cs="Arial"/>
          <w:color w:val="231F20"/>
        </w:rPr>
        <w:t>) of section 25</w:t>
      </w:r>
      <w:r w:rsidR="00C136AC" w:rsidRPr="00A14595">
        <w:rPr>
          <w:rFonts w:ascii="Arial" w:hAnsi="Arial" w:cs="Arial"/>
          <w:color w:val="231F20"/>
        </w:rPr>
        <w:t>(2)</w:t>
      </w:r>
      <w:r w:rsidRPr="00A14595">
        <w:rPr>
          <w:rFonts w:ascii="Arial" w:hAnsi="Arial" w:cs="Arial"/>
          <w:color w:val="231F20"/>
        </w:rPr>
        <w:t xml:space="preserve"> of the Code.</w:t>
      </w:r>
      <w:r w:rsidR="005B0529">
        <w:rPr>
          <w:rFonts w:ascii="Arial" w:hAnsi="Arial" w:cs="Arial"/>
          <w:color w:val="231F20"/>
        </w:rPr>
        <w:t xml:space="preserve"> This is a specific amendment brought about to ensure that a resolution plan can be submitted only by those who are specifically invited to submit a resolution plan by the resolution professional. </w:t>
      </w:r>
    </w:p>
    <w:p w14:paraId="28EB72EB" w14:textId="77777777" w:rsidR="00471764" w:rsidRPr="00A14595" w:rsidRDefault="00471764" w:rsidP="008C6FFD">
      <w:pPr>
        <w:autoSpaceDE w:val="0"/>
        <w:autoSpaceDN w:val="0"/>
        <w:adjustRightInd w:val="0"/>
        <w:spacing w:after="0" w:line="259" w:lineRule="auto"/>
        <w:jc w:val="both"/>
        <w:rPr>
          <w:rFonts w:ascii="Arial" w:hAnsi="Arial" w:cs="Arial"/>
          <w:color w:val="231F20"/>
        </w:rPr>
      </w:pPr>
    </w:p>
    <w:p w14:paraId="6BA47810" w14:textId="77777777" w:rsidR="00471764" w:rsidRPr="00A14595" w:rsidRDefault="00471764" w:rsidP="008C6FFD">
      <w:pPr>
        <w:pStyle w:val="ListParagraph"/>
        <w:numPr>
          <w:ilvl w:val="0"/>
          <w:numId w:val="8"/>
        </w:numPr>
        <w:spacing w:after="0" w:line="259" w:lineRule="auto"/>
        <w:ind w:left="709" w:hanging="709"/>
        <w:jc w:val="both"/>
        <w:rPr>
          <w:rFonts w:ascii="Arial" w:hAnsi="Arial" w:cs="Arial"/>
          <w:b/>
          <w:color w:val="191919"/>
          <w:u w:val="single"/>
          <w:shd w:val="clear" w:color="auto" w:fill="FFFFFF"/>
        </w:rPr>
      </w:pPr>
      <w:r w:rsidRPr="00A14595">
        <w:rPr>
          <w:rFonts w:ascii="Arial" w:hAnsi="Arial" w:cs="Arial"/>
          <w:b/>
          <w:color w:val="191919"/>
          <w:u w:val="single"/>
          <w:shd w:val="clear" w:color="auto" w:fill="FFFFFF"/>
        </w:rPr>
        <w:t>Duties of resolution professional</w:t>
      </w:r>
    </w:p>
    <w:p w14:paraId="1F9EDDB9" w14:textId="77777777" w:rsidR="00D95A34" w:rsidRPr="00A14595" w:rsidRDefault="00D95A34" w:rsidP="008C6FFD">
      <w:pPr>
        <w:autoSpaceDE w:val="0"/>
        <w:autoSpaceDN w:val="0"/>
        <w:adjustRightInd w:val="0"/>
        <w:spacing w:after="0" w:line="259" w:lineRule="auto"/>
        <w:jc w:val="both"/>
        <w:rPr>
          <w:rFonts w:ascii="Arial" w:hAnsi="Arial" w:cs="Arial"/>
          <w:color w:val="231F20"/>
        </w:rPr>
      </w:pPr>
    </w:p>
    <w:p w14:paraId="2CACC8DE" w14:textId="77777777" w:rsidR="00B40FA0" w:rsidRPr="00A14595" w:rsidRDefault="00C136AC" w:rsidP="008C6FFD">
      <w:pPr>
        <w:autoSpaceDE w:val="0"/>
        <w:autoSpaceDN w:val="0"/>
        <w:adjustRightInd w:val="0"/>
        <w:spacing w:after="0" w:line="259" w:lineRule="auto"/>
        <w:jc w:val="both"/>
        <w:rPr>
          <w:rFonts w:ascii="Arial" w:hAnsi="Arial" w:cs="Arial"/>
          <w:color w:val="231F20"/>
        </w:rPr>
      </w:pPr>
      <w:r w:rsidRPr="00A14595">
        <w:rPr>
          <w:rFonts w:ascii="Arial" w:hAnsi="Arial" w:cs="Arial"/>
          <w:color w:val="231F20"/>
        </w:rPr>
        <w:t>Duties of the resolution p</w:t>
      </w:r>
      <w:r w:rsidR="00471764" w:rsidRPr="00A14595">
        <w:rPr>
          <w:rFonts w:ascii="Arial" w:hAnsi="Arial" w:cs="Arial"/>
          <w:color w:val="231F20"/>
        </w:rPr>
        <w:t>rofessional under Section 25(2)(h) of the Code to include inviting prospective resolution applicants, who fulfil such criteria as may be laid down by the</w:t>
      </w:r>
      <w:r w:rsidRPr="00A14595">
        <w:rPr>
          <w:rFonts w:ascii="Arial" w:hAnsi="Arial" w:cs="Arial"/>
          <w:color w:val="231F20"/>
        </w:rPr>
        <w:t xml:space="preserve"> resolution p</w:t>
      </w:r>
      <w:r w:rsidR="00471764" w:rsidRPr="00A14595">
        <w:rPr>
          <w:rFonts w:ascii="Arial" w:hAnsi="Arial" w:cs="Arial"/>
          <w:color w:val="231F20"/>
        </w:rPr>
        <w:t>rofessional</w:t>
      </w:r>
      <w:r w:rsidR="00B40FA0" w:rsidRPr="00A14595">
        <w:rPr>
          <w:rFonts w:ascii="Arial" w:hAnsi="Arial" w:cs="Arial"/>
          <w:color w:val="231F20"/>
        </w:rPr>
        <w:t>. Such criteria would be imposed in accordance with the following:</w:t>
      </w:r>
    </w:p>
    <w:p w14:paraId="7BA2AB23" w14:textId="77777777" w:rsidR="00B40FA0" w:rsidRPr="00A14595" w:rsidRDefault="00471764" w:rsidP="008C6FFD">
      <w:pPr>
        <w:pStyle w:val="ListParagraph"/>
        <w:numPr>
          <w:ilvl w:val="0"/>
          <w:numId w:val="10"/>
        </w:numPr>
        <w:spacing w:after="0" w:line="259" w:lineRule="auto"/>
        <w:ind w:left="709" w:hanging="709"/>
        <w:jc w:val="both"/>
        <w:rPr>
          <w:rFonts w:ascii="Arial" w:hAnsi="Arial" w:cs="Arial"/>
          <w:color w:val="231F20"/>
        </w:rPr>
      </w:pPr>
      <w:r w:rsidRPr="00A14595">
        <w:rPr>
          <w:rFonts w:ascii="Arial" w:hAnsi="Arial" w:cs="Arial"/>
          <w:color w:val="231F20"/>
        </w:rPr>
        <w:t>approval of committee of creditors</w:t>
      </w:r>
      <w:r w:rsidR="00C136AC" w:rsidRPr="00A14595">
        <w:rPr>
          <w:rFonts w:ascii="Arial" w:hAnsi="Arial" w:cs="Arial"/>
          <w:color w:val="231F20"/>
        </w:rPr>
        <w:t xml:space="preserve"> (“</w:t>
      </w:r>
      <w:proofErr w:type="spellStart"/>
      <w:r w:rsidR="00C136AC" w:rsidRPr="00A14595">
        <w:rPr>
          <w:rFonts w:ascii="Arial" w:hAnsi="Arial" w:cs="Arial"/>
          <w:b/>
          <w:color w:val="231F20"/>
        </w:rPr>
        <w:t>CoC</w:t>
      </w:r>
      <w:proofErr w:type="spellEnd"/>
      <w:r w:rsidR="00C136AC" w:rsidRPr="00A14595">
        <w:rPr>
          <w:rFonts w:ascii="Arial" w:hAnsi="Arial" w:cs="Arial"/>
          <w:color w:val="231F20"/>
        </w:rPr>
        <w:t>”);</w:t>
      </w:r>
      <w:r w:rsidRPr="00A14595">
        <w:rPr>
          <w:rFonts w:ascii="Arial" w:hAnsi="Arial" w:cs="Arial"/>
          <w:color w:val="231F20"/>
        </w:rPr>
        <w:t xml:space="preserve"> </w:t>
      </w:r>
    </w:p>
    <w:p w14:paraId="2A8C4A4A" w14:textId="77777777" w:rsidR="00B40FA0" w:rsidRPr="00A14595" w:rsidRDefault="00B40FA0" w:rsidP="008C6FFD">
      <w:pPr>
        <w:pStyle w:val="ListParagraph"/>
        <w:numPr>
          <w:ilvl w:val="0"/>
          <w:numId w:val="10"/>
        </w:numPr>
        <w:spacing w:after="0" w:line="259" w:lineRule="auto"/>
        <w:ind w:left="709" w:hanging="709"/>
        <w:jc w:val="both"/>
        <w:rPr>
          <w:rFonts w:ascii="Arial" w:hAnsi="Arial" w:cs="Arial"/>
          <w:color w:val="231F20"/>
        </w:rPr>
      </w:pPr>
      <w:r w:rsidRPr="00A14595">
        <w:rPr>
          <w:rFonts w:ascii="Arial" w:hAnsi="Arial" w:cs="Arial"/>
          <w:color w:val="231F20"/>
        </w:rPr>
        <w:t>c</w:t>
      </w:r>
      <w:r w:rsidR="00471764" w:rsidRPr="00A14595">
        <w:rPr>
          <w:rFonts w:ascii="Arial" w:hAnsi="Arial" w:cs="Arial"/>
          <w:color w:val="231F20"/>
        </w:rPr>
        <w:t>omplexity and scale of operations of the business of the corporate debtor</w:t>
      </w:r>
      <w:r w:rsidR="00C136AC" w:rsidRPr="00A14595">
        <w:rPr>
          <w:rFonts w:ascii="Arial" w:hAnsi="Arial" w:cs="Arial"/>
          <w:color w:val="231F20"/>
        </w:rPr>
        <w:t>;</w:t>
      </w:r>
      <w:r w:rsidR="00471764" w:rsidRPr="00A14595">
        <w:rPr>
          <w:rFonts w:ascii="Arial" w:hAnsi="Arial" w:cs="Arial"/>
          <w:color w:val="231F20"/>
        </w:rPr>
        <w:t xml:space="preserve"> and </w:t>
      </w:r>
    </w:p>
    <w:p w14:paraId="630AB400" w14:textId="77777777" w:rsidR="00471764" w:rsidRPr="00A14595" w:rsidRDefault="00471764" w:rsidP="008C6FFD">
      <w:pPr>
        <w:pStyle w:val="ListParagraph"/>
        <w:numPr>
          <w:ilvl w:val="0"/>
          <w:numId w:val="10"/>
        </w:numPr>
        <w:spacing w:after="0" w:line="259" w:lineRule="auto"/>
        <w:ind w:left="709" w:hanging="709"/>
        <w:jc w:val="both"/>
        <w:rPr>
          <w:rFonts w:ascii="Arial" w:hAnsi="Arial" w:cs="Arial"/>
          <w:color w:val="231F20"/>
        </w:rPr>
      </w:pPr>
      <w:r w:rsidRPr="00A14595">
        <w:rPr>
          <w:rFonts w:ascii="Arial" w:hAnsi="Arial" w:cs="Arial"/>
          <w:color w:val="231F20"/>
        </w:rPr>
        <w:lastRenderedPageBreak/>
        <w:t xml:space="preserve">other conditions as may be specified by the </w:t>
      </w:r>
      <w:r w:rsidR="00B40FA0" w:rsidRPr="00A14595">
        <w:rPr>
          <w:rFonts w:ascii="Arial" w:hAnsi="Arial" w:cs="Arial"/>
          <w:color w:val="231F20"/>
        </w:rPr>
        <w:t xml:space="preserve">Insolvency and Bankruptcy </w:t>
      </w:r>
      <w:r w:rsidRPr="00A14595">
        <w:rPr>
          <w:rFonts w:ascii="Arial" w:hAnsi="Arial" w:cs="Arial"/>
          <w:color w:val="231F20"/>
        </w:rPr>
        <w:t>Board</w:t>
      </w:r>
      <w:r w:rsidR="00B40FA0" w:rsidRPr="00A14595">
        <w:rPr>
          <w:rFonts w:ascii="Arial" w:hAnsi="Arial" w:cs="Arial"/>
          <w:color w:val="231F20"/>
        </w:rPr>
        <w:t xml:space="preserve"> of India (</w:t>
      </w:r>
      <w:r w:rsidR="00C136AC" w:rsidRPr="00A14595">
        <w:rPr>
          <w:rFonts w:ascii="Arial" w:hAnsi="Arial" w:cs="Arial"/>
          <w:b/>
          <w:color w:val="231F20"/>
        </w:rPr>
        <w:t>“</w:t>
      </w:r>
      <w:r w:rsidR="00B40FA0" w:rsidRPr="00A14595">
        <w:rPr>
          <w:rFonts w:ascii="Arial" w:hAnsi="Arial" w:cs="Arial"/>
          <w:b/>
          <w:color w:val="231F20"/>
        </w:rPr>
        <w:t>IBBI</w:t>
      </w:r>
      <w:r w:rsidR="00C136AC" w:rsidRPr="00A14595">
        <w:rPr>
          <w:rFonts w:ascii="Arial" w:hAnsi="Arial" w:cs="Arial"/>
          <w:b/>
          <w:color w:val="231F20"/>
        </w:rPr>
        <w:t>”</w:t>
      </w:r>
      <w:r w:rsidR="00B40FA0" w:rsidRPr="00A14595">
        <w:rPr>
          <w:rFonts w:ascii="Arial" w:hAnsi="Arial" w:cs="Arial"/>
          <w:color w:val="231F20"/>
        </w:rPr>
        <w:t>)</w:t>
      </w:r>
      <w:r w:rsidR="00C136AC" w:rsidRPr="00A14595">
        <w:rPr>
          <w:rFonts w:ascii="Arial" w:hAnsi="Arial" w:cs="Arial"/>
          <w:color w:val="231F20"/>
        </w:rPr>
        <w:t>.</w:t>
      </w:r>
      <w:r w:rsidR="00B40FA0" w:rsidRPr="00A14595">
        <w:rPr>
          <w:rFonts w:ascii="Arial" w:hAnsi="Arial" w:cs="Arial"/>
          <w:color w:val="231F20"/>
        </w:rPr>
        <w:t xml:space="preserve"> </w:t>
      </w:r>
    </w:p>
    <w:p w14:paraId="2CA849E7" w14:textId="77777777" w:rsidR="00471764" w:rsidRDefault="00471764" w:rsidP="008C6FFD">
      <w:pPr>
        <w:autoSpaceDE w:val="0"/>
        <w:autoSpaceDN w:val="0"/>
        <w:adjustRightInd w:val="0"/>
        <w:spacing w:after="0" w:line="259" w:lineRule="auto"/>
        <w:ind w:left="709" w:hanging="709"/>
        <w:jc w:val="both"/>
        <w:rPr>
          <w:rFonts w:ascii="Arial" w:hAnsi="Arial" w:cs="Arial"/>
          <w:color w:val="231F20"/>
        </w:rPr>
      </w:pPr>
    </w:p>
    <w:p w14:paraId="4F27FDF5" w14:textId="77777777" w:rsidR="005B0529" w:rsidRDefault="005B0529" w:rsidP="005B0529">
      <w:pPr>
        <w:autoSpaceDE w:val="0"/>
        <w:autoSpaceDN w:val="0"/>
        <w:adjustRightInd w:val="0"/>
        <w:spacing w:after="0" w:line="259" w:lineRule="auto"/>
        <w:jc w:val="both"/>
        <w:rPr>
          <w:rFonts w:ascii="Arial" w:hAnsi="Arial" w:cs="Arial"/>
          <w:color w:val="231F20"/>
        </w:rPr>
      </w:pPr>
      <w:r>
        <w:rPr>
          <w:rFonts w:ascii="Arial" w:hAnsi="Arial" w:cs="Arial"/>
          <w:color w:val="231F20"/>
        </w:rPr>
        <w:t>This amendment seeks to ensure that the resolution applicant is capable of understanding, appreciating and if needed assisting in the operations of the business of the corporate debtor as a going concern during a corporate insolvency resolution process (“</w:t>
      </w:r>
      <w:r w:rsidRPr="005B0529">
        <w:rPr>
          <w:rFonts w:ascii="Arial" w:hAnsi="Arial" w:cs="Arial"/>
          <w:b/>
          <w:color w:val="231F20"/>
        </w:rPr>
        <w:t>CIRP</w:t>
      </w:r>
      <w:r>
        <w:rPr>
          <w:rFonts w:ascii="Arial" w:hAnsi="Arial" w:cs="Arial"/>
          <w:color w:val="231F20"/>
        </w:rPr>
        <w:t xml:space="preserve">”). </w:t>
      </w:r>
    </w:p>
    <w:p w14:paraId="4C466E14" w14:textId="77777777" w:rsidR="005B0529" w:rsidRPr="00A14595" w:rsidRDefault="005B0529" w:rsidP="008C6FFD">
      <w:pPr>
        <w:autoSpaceDE w:val="0"/>
        <w:autoSpaceDN w:val="0"/>
        <w:adjustRightInd w:val="0"/>
        <w:spacing w:after="0" w:line="259" w:lineRule="auto"/>
        <w:ind w:left="709" w:hanging="709"/>
        <w:jc w:val="both"/>
        <w:rPr>
          <w:rFonts w:ascii="Arial" w:hAnsi="Arial" w:cs="Arial"/>
          <w:color w:val="231F20"/>
        </w:rPr>
      </w:pPr>
    </w:p>
    <w:p w14:paraId="44F9D972" w14:textId="77777777" w:rsidR="002857D9" w:rsidRPr="00A14595" w:rsidRDefault="002857D9" w:rsidP="008C6FFD">
      <w:pPr>
        <w:pStyle w:val="ListParagraph"/>
        <w:numPr>
          <w:ilvl w:val="0"/>
          <w:numId w:val="8"/>
        </w:numPr>
        <w:spacing w:after="0" w:line="259" w:lineRule="auto"/>
        <w:ind w:left="709" w:hanging="709"/>
        <w:jc w:val="both"/>
        <w:rPr>
          <w:rFonts w:ascii="Arial" w:hAnsi="Arial" w:cs="Arial"/>
          <w:b/>
          <w:color w:val="191919"/>
          <w:u w:val="single"/>
          <w:shd w:val="clear" w:color="auto" w:fill="FFFFFF"/>
        </w:rPr>
      </w:pPr>
      <w:r w:rsidRPr="00A14595">
        <w:rPr>
          <w:rFonts w:ascii="Arial" w:hAnsi="Arial" w:cs="Arial"/>
          <w:b/>
          <w:color w:val="191919"/>
          <w:u w:val="single"/>
          <w:shd w:val="clear" w:color="auto" w:fill="FFFFFF"/>
        </w:rPr>
        <w:t>Person not eligible to be resolution applicant</w:t>
      </w:r>
    </w:p>
    <w:p w14:paraId="4017BEA2" w14:textId="77777777" w:rsidR="00D95A34" w:rsidRPr="00A14595" w:rsidRDefault="00D95A34" w:rsidP="008C6FFD">
      <w:pPr>
        <w:pStyle w:val="bodytext"/>
        <w:spacing w:before="0" w:beforeAutospacing="0" w:after="0" w:afterAutospacing="0" w:line="259" w:lineRule="auto"/>
        <w:jc w:val="both"/>
        <w:rPr>
          <w:rFonts w:ascii="Arial" w:hAnsi="Arial" w:cs="Arial"/>
          <w:color w:val="191919"/>
          <w:sz w:val="22"/>
          <w:szCs w:val="22"/>
        </w:rPr>
      </w:pPr>
    </w:p>
    <w:p w14:paraId="69F92CFB" w14:textId="77777777" w:rsidR="00B40FA0" w:rsidRPr="00A14595" w:rsidRDefault="00B40FA0" w:rsidP="008C6FFD">
      <w:pPr>
        <w:pStyle w:val="bodytext"/>
        <w:spacing w:before="0" w:beforeAutospacing="0" w:after="0" w:afterAutospacing="0" w:line="259" w:lineRule="auto"/>
        <w:jc w:val="both"/>
        <w:rPr>
          <w:rFonts w:ascii="Arial" w:hAnsi="Arial" w:cs="Arial"/>
          <w:color w:val="191919"/>
          <w:sz w:val="22"/>
          <w:szCs w:val="22"/>
        </w:rPr>
      </w:pPr>
      <w:r w:rsidRPr="00A14595">
        <w:rPr>
          <w:rFonts w:ascii="Arial" w:hAnsi="Arial" w:cs="Arial"/>
          <w:color w:val="191919"/>
          <w:sz w:val="22"/>
          <w:szCs w:val="22"/>
        </w:rPr>
        <w:t>The Amendment Act provides that a person shall not be eligible to submit a resolution plan if such person or any other person acting jointly </w:t>
      </w:r>
      <w:r w:rsidRPr="00A14595">
        <w:rPr>
          <w:rFonts w:ascii="Arial" w:hAnsi="Arial" w:cs="Arial"/>
          <w:bCs/>
          <w:iCs/>
          <w:color w:val="191919"/>
          <w:sz w:val="22"/>
          <w:szCs w:val="22"/>
        </w:rPr>
        <w:t>or in concert</w:t>
      </w:r>
      <w:r w:rsidRPr="00A14595">
        <w:rPr>
          <w:rFonts w:ascii="Arial" w:hAnsi="Arial" w:cs="Arial"/>
          <w:b/>
          <w:bCs/>
          <w:i/>
          <w:iCs/>
          <w:color w:val="191919"/>
          <w:sz w:val="22"/>
          <w:szCs w:val="22"/>
        </w:rPr>
        <w:t> </w:t>
      </w:r>
      <w:r w:rsidRPr="00A14595">
        <w:rPr>
          <w:rFonts w:ascii="Arial" w:hAnsi="Arial" w:cs="Arial"/>
          <w:color w:val="191919"/>
          <w:sz w:val="22"/>
          <w:szCs w:val="22"/>
        </w:rPr>
        <w:t>with such person</w:t>
      </w:r>
      <w:r w:rsidR="002857D9" w:rsidRPr="00A14595">
        <w:rPr>
          <w:rFonts w:ascii="Arial" w:hAnsi="Arial" w:cs="Arial"/>
          <w:color w:val="191919"/>
          <w:sz w:val="22"/>
          <w:szCs w:val="22"/>
        </w:rPr>
        <w:t xml:space="preserve"> falls under the following categories:</w:t>
      </w:r>
      <w:r w:rsidRPr="00A14595">
        <w:rPr>
          <w:rFonts w:ascii="Arial" w:hAnsi="Arial" w:cs="Arial"/>
          <w:color w:val="191919"/>
          <w:sz w:val="22"/>
          <w:szCs w:val="22"/>
        </w:rPr>
        <w:t xml:space="preserve"> </w:t>
      </w:r>
    </w:p>
    <w:p w14:paraId="173F9B1D" w14:textId="77777777" w:rsidR="002857D9"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an undischarged insolvent;</w:t>
      </w:r>
    </w:p>
    <w:p w14:paraId="7E2E59A9" w14:textId="77777777" w:rsidR="002857D9"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 xml:space="preserve">a wilful defaulter in accordance with the guidelines of the Reserve Bank of India </w:t>
      </w:r>
      <w:r w:rsidR="002857D9" w:rsidRPr="00A14595">
        <w:rPr>
          <w:rFonts w:ascii="Arial" w:hAnsi="Arial" w:cs="Arial"/>
          <w:color w:val="191919"/>
          <w:sz w:val="22"/>
          <w:szCs w:val="22"/>
        </w:rPr>
        <w:t>(</w:t>
      </w:r>
      <w:r w:rsidR="00C136AC" w:rsidRPr="00A14595">
        <w:rPr>
          <w:rFonts w:ascii="Arial" w:hAnsi="Arial" w:cs="Arial"/>
          <w:color w:val="191919"/>
          <w:sz w:val="22"/>
          <w:szCs w:val="22"/>
        </w:rPr>
        <w:t>“</w:t>
      </w:r>
      <w:r w:rsidR="002857D9" w:rsidRPr="00A14595">
        <w:rPr>
          <w:rFonts w:ascii="Arial" w:hAnsi="Arial" w:cs="Arial"/>
          <w:b/>
          <w:color w:val="191919"/>
          <w:sz w:val="22"/>
          <w:szCs w:val="22"/>
        </w:rPr>
        <w:t>RBI</w:t>
      </w:r>
      <w:r w:rsidR="00C136AC" w:rsidRPr="00A14595">
        <w:rPr>
          <w:rFonts w:ascii="Arial" w:hAnsi="Arial" w:cs="Arial"/>
          <w:b/>
          <w:color w:val="191919"/>
          <w:sz w:val="22"/>
          <w:szCs w:val="22"/>
        </w:rPr>
        <w:t>”</w:t>
      </w:r>
      <w:r w:rsidR="002857D9" w:rsidRPr="00A14595">
        <w:rPr>
          <w:rFonts w:ascii="Arial" w:hAnsi="Arial" w:cs="Arial"/>
          <w:color w:val="191919"/>
          <w:sz w:val="22"/>
          <w:szCs w:val="22"/>
        </w:rPr>
        <w:t xml:space="preserve">) </w:t>
      </w:r>
      <w:r w:rsidRPr="00A14595">
        <w:rPr>
          <w:rFonts w:ascii="Arial" w:hAnsi="Arial" w:cs="Arial"/>
          <w:color w:val="191919"/>
          <w:sz w:val="22"/>
          <w:szCs w:val="22"/>
        </w:rPr>
        <w:t>issued under t</w:t>
      </w:r>
      <w:r w:rsidR="002857D9" w:rsidRPr="00A14595">
        <w:rPr>
          <w:rFonts w:ascii="Arial" w:hAnsi="Arial" w:cs="Arial"/>
          <w:color w:val="191919"/>
          <w:sz w:val="22"/>
          <w:szCs w:val="22"/>
        </w:rPr>
        <w:t>he Banking Regulation Act, 1949 (</w:t>
      </w:r>
      <w:r w:rsidR="00C136AC" w:rsidRPr="00A14595">
        <w:rPr>
          <w:rFonts w:ascii="Arial" w:hAnsi="Arial" w:cs="Arial"/>
          <w:color w:val="191919"/>
          <w:sz w:val="22"/>
          <w:szCs w:val="22"/>
        </w:rPr>
        <w:t>“</w:t>
      </w:r>
      <w:r w:rsidR="00D95A34" w:rsidRPr="00A14595">
        <w:rPr>
          <w:rFonts w:ascii="Arial" w:hAnsi="Arial" w:cs="Arial"/>
          <w:b/>
          <w:color w:val="191919"/>
          <w:sz w:val="22"/>
          <w:szCs w:val="22"/>
        </w:rPr>
        <w:t>BR Act, 1949</w:t>
      </w:r>
      <w:r w:rsidR="00C136AC" w:rsidRPr="00A14595">
        <w:rPr>
          <w:rFonts w:ascii="Arial" w:hAnsi="Arial" w:cs="Arial"/>
          <w:b/>
          <w:color w:val="191919"/>
          <w:sz w:val="22"/>
          <w:szCs w:val="22"/>
        </w:rPr>
        <w:t>”</w:t>
      </w:r>
      <w:r w:rsidR="002857D9" w:rsidRPr="00A14595">
        <w:rPr>
          <w:rFonts w:ascii="Arial" w:hAnsi="Arial" w:cs="Arial"/>
          <w:b/>
          <w:color w:val="191919"/>
          <w:sz w:val="22"/>
          <w:szCs w:val="22"/>
        </w:rPr>
        <w:t>)</w:t>
      </w:r>
      <w:r w:rsidR="002857D9" w:rsidRPr="00A14595">
        <w:rPr>
          <w:rFonts w:ascii="Arial" w:hAnsi="Arial" w:cs="Arial"/>
          <w:color w:val="191919"/>
          <w:sz w:val="22"/>
          <w:szCs w:val="22"/>
        </w:rPr>
        <w:t>;</w:t>
      </w:r>
    </w:p>
    <w:p w14:paraId="53329617" w14:textId="77777777" w:rsidR="00B40FA0"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 xml:space="preserve">has an account, or an account of a corporate debtor under the management or control of such person or of whom such person is a promoter, classified as </w:t>
      </w:r>
      <w:r w:rsidR="002857D9" w:rsidRPr="00A14595">
        <w:rPr>
          <w:rFonts w:ascii="Arial" w:hAnsi="Arial" w:cs="Arial"/>
          <w:color w:val="191919"/>
          <w:sz w:val="22"/>
          <w:szCs w:val="22"/>
        </w:rPr>
        <w:t>non-performing assets (</w:t>
      </w:r>
      <w:r w:rsidR="00C136AC" w:rsidRPr="00A14595">
        <w:rPr>
          <w:rFonts w:ascii="Arial" w:hAnsi="Arial" w:cs="Arial"/>
          <w:color w:val="191919"/>
          <w:sz w:val="22"/>
          <w:szCs w:val="22"/>
        </w:rPr>
        <w:t>“</w:t>
      </w:r>
      <w:r w:rsidRPr="00A14595">
        <w:rPr>
          <w:rFonts w:ascii="Arial" w:hAnsi="Arial" w:cs="Arial"/>
          <w:b/>
          <w:color w:val="191919"/>
          <w:sz w:val="22"/>
          <w:szCs w:val="22"/>
        </w:rPr>
        <w:t>NPA</w:t>
      </w:r>
      <w:r w:rsidR="00C136AC" w:rsidRPr="00A14595">
        <w:rPr>
          <w:rFonts w:ascii="Arial" w:hAnsi="Arial" w:cs="Arial"/>
          <w:b/>
          <w:color w:val="191919"/>
          <w:sz w:val="22"/>
          <w:szCs w:val="22"/>
        </w:rPr>
        <w:t>”</w:t>
      </w:r>
      <w:r w:rsidR="002857D9" w:rsidRPr="00A14595">
        <w:rPr>
          <w:rFonts w:ascii="Arial" w:hAnsi="Arial" w:cs="Arial"/>
          <w:color w:val="191919"/>
          <w:sz w:val="22"/>
          <w:szCs w:val="22"/>
        </w:rPr>
        <w:t>)</w:t>
      </w:r>
      <w:r w:rsidRPr="00A14595">
        <w:rPr>
          <w:rFonts w:ascii="Arial" w:hAnsi="Arial" w:cs="Arial"/>
          <w:color w:val="191919"/>
          <w:sz w:val="22"/>
          <w:szCs w:val="22"/>
        </w:rPr>
        <w:t xml:space="preserve"> in accordance with the guidelines of the </w:t>
      </w:r>
      <w:r w:rsidR="002857D9" w:rsidRPr="00A14595">
        <w:rPr>
          <w:rFonts w:ascii="Arial" w:hAnsi="Arial" w:cs="Arial"/>
          <w:color w:val="191919"/>
          <w:sz w:val="22"/>
          <w:szCs w:val="22"/>
        </w:rPr>
        <w:t>RBI</w:t>
      </w:r>
      <w:r w:rsidRPr="00A14595">
        <w:rPr>
          <w:rFonts w:ascii="Arial" w:hAnsi="Arial" w:cs="Arial"/>
          <w:color w:val="191919"/>
          <w:sz w:val="22"/>
          <w:szCs w:val="22"/>
        </w:rPr>
        <w:t xml:space="preserve"> issued under the </w:t>
      </w:r>
      <w:r w:rsidR="00D95A34" w:rsidRPr="00A14595">
        <w:rPr>
          <w:rFonts w:ascii="Arial" w:hAnsi="Arial" w:cs="Arial"/>
          <w:color w:val="191919"/>
          <w:sz w:val="22"/>
          <w:szCs w:val="22"/>
        </w:rPr>
        <w:t xml:space="preserve">BR Act 1949 </w:t>
      </w:r>
      <w:r w:rsidRPr="00A14595">
        <w:rPr>
          <w:rFonts w:ascii="Arial" w:hAnsi="Arial" w:cs="Arial"/>
          <w:color w:val="191919"/>
          <w:sz w:val="22"/>
          <w:szCs w:val="22"/>
        </w:rPr>
        <w:t>and at least a period of one year has lapsed from the date of such classification till the date of commencement of the corporate insolvency resolution process of the corporate debtor:</w:t>
      </w:r>
    </w:p>
    <w:p w14:paraId="56B4C732" w14:textId="77777777" w:rsidR="00B40FA0" w:rsidRPr="00A14595" w:rsidRDefault="00B40FA0" w:rsidP="008C6FFD">
      <w:pPr>
        <w:pStyle w:val="NormalWeb"/>
        <w:spacing w:before="0" w:beforeAutospacing="0" w:after="0" w:afterAutospacing="0" w:line="259" w:lineRule="auto"/>
        <w:ind w:left="709"/>
        <w:jc w:val="both"/>
        <w:rPr>
          <w:rFonts w:ascii="Arial" w:hAnsi="Arial" w:cs="Arial"/>
          <w:color w:val="191919"/>
          <w:sz w:val="22"/>
          <w:szCs w:val="22"/>
        </w:rPr>
      </w:pPr>
      <w:r w:rsidRPr="00A14595">
        <w:rPr>
          <w:rFonts w:ascii="Arial" w:hAnsi="Arial" w:cs="Arial"/>
          <w:color w:val="191919"/>
          <w:sz w:val="22"/>
          <w:szCs w:val="22"/>
        </w:rPr>
        <w:t>Provided that the person shall be eligible to submit a resolution plan if such person makes payment of all overdue amounts with interest thereon and charges relating to NPA accounts before submission of resolution plan;</w:t>
      </w:r>
    </w:p>
    <w:p w14:paraId="704AB702" w14:textId="77777777" w:rsidR="002857D9"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has been convicted for any offence punishable with imprisonment for two years or more;</w:t>
      </w:r>
    </w:p>
    <w:p w14:paraId="7D5BAC80" w14:textId="77777777" w:rsidR="00D95A34"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 xml:space="preserve">is </w:t>
      </w:r>
      <w:r w:rsidR="002857D9" w:rsidRPr="00A14595">
        <w:rPr>
          <w:rFonts w:ascii="Arial" w:hAnsi="Arial" w:cs="Arial"/>
          <w:color w:val="191919"/>
          <w:sz w:val="22"/>
          <w:szCs w:val="22"/>
        </w:rPr>
        <w:t>qualified to act as a director under the Companies Act, 2013</w:t>
      </w:r>
    </w:p>
    <w:p w14:paraId="40F5B68B" w14:textId="77777777" w:rsidR="00D95A34"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prohibited by the Securities and Exchange Board of India</w:t>
      </w:r>
      <w:r w:rsidR="00D95A34" w:rsidRPr="00A14595">
        <w:rPr>
          <w:rFonts w:ascii="Arial" w:hAnsi="Arial" w:cs="Arial"/>
          <w:color w:val="191919"/>
          <w:sz w:val="22"/>
          <w:szCs w:val="22"/>
        </w:rPr>
        <w:t xml:space="preserve"> (</w:t>
      </w:r>
      <w:r w:rsidR="00C136AC" w:rsidRPr="00A14595">
        <w:rPr>
          <w:rFonts w:ascii="Arial" w:hAnsi="Arial" w:cs="Arial"/>
          <w:color w:val="191919"/>
          <w:sz w:val="22"/>
          <w:szCs w:val="22"/>
        </w:rPr>
        <w:t>“</w:t>
      </w:r>
      <w:r w:rsidR="00D95A34" w:rsidRPr="00A14595">
        <w:rPr>
          <w:rFonts w:ascii="Arial" w:hAnsi="Arial" w:cs="Arial"/>
          <w:b/>
          <w:color w:val="191919"/>
          <w:sz w:val="22"/>
          <w:szCs w:val="22"/>
        </w:rPr>
        <w:t>SEBI</w:t>
      </w:r>
      <w:r w:rsidR="00C136AC" w:rsidRPr="00A14595">
        <w:rPr>
          <w:rFonts w:ascii="Arial" w:hAnsi="Arial" w:cs="Arial"/>
          <w:b/>
          <w:color w:val="191919"/>
          <w:sz w:val="22"/>
          <w:szCs w:val="22"/>
        </w:rPr>
        <w:t>”</w:t>
      </w:r>
      <w:r w:rsidR="00D95A34" w:rsidRPr="00A14595">
        <w:rPr>
          <w:rFonts w:ascii="Arial" w:hAnsi="Arial" w:cs="Arial"/>
          <w:color w:val="191919"/>
          <w:sz w:val="22"/>
          <w:szCs w:val="22"/>
        </w:rPr>
        <w:t>)</w:t>
      </w:r>
      <w:r w:rsidRPr="00A14595">
        <w:rPr>
          <w:rFonts w:ascii="Arial" w:hAnsi="Arial" w:cs="Arial"/>
          <w:color w:val="191919"/>
          <w:sz w:val="22"/>
          <w:szCs w:val="22"/>
        </w:rPr>
        <w:t xml:space="preserve"> from trading in securities or accessing the securities markets;</w:t>
      </w:r>
    </w:p>
    <w:p w14:paraId="2D68B8B5" w14:textId="77777777" w:rsidR="00D95A34"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this Code;</w:t>
      </w:r>
    </w:p>
    <w:p w14:paraId="2582B2CD" w14:textId="77777777" w:rsidR="00D95A34"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has executed an enforceable guarantee in favour of a creditor in respect of a corporate debtor against which an application for insolvency resolution made by such creditor has been admitted under this</w:t>
      </w:r>
      <w:r w:rsidR="00D95A34" w:rsidRPr="00A14595">
        <w:rPr>
          <w:rFonts w:ascii="Arial" w:hAnsi="Arial" w:cs="Arial"/>
          <w:color w:val="191919"/>
          <w:sz w:val="22"/>
          <w:szCs w:val="22"/>
        </w:rPr>
        <w:t xml:space="preserve"> Code</w:t>
      </w:r>
      <w:r w:rsidR="00C136AC" w:rsidRPr="00A14595">
        <w:rPr>
          <w:rFonts w:ascii="Arial" w:hAnsi="Arial" w:cs="Arial"/>
          <w:color w:val="191919"/>
          <w:sz w:val="22"/>
          <w:szCs w:val="22"/>
        </w:rPr>
        <w:t>;</w:t>
      </w:r>
    </w:p>
    <w:p w14:paraId="22121B0C" w14:textId="77777777" w:rsidR="00D95A34"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has been subject to any disability, corresponding to clauses (a) to (h), under any law in a jurisdiction outside India; or</w:t>
      </w:r>
    </w:p>
    <w:p w14:paraId="2BA45428" w14:textId="77777777" w:rsidR="00B40FA0" w:rsidRPr="00A14595" w:rsidRDefault="00B40FA0" w:rsidP="008C6FFD">
      <w:pPr>
        <w:pStyle w:val="NormalWeb"/>
        <w:numPr>
          <w:ilvl w:val="0"/>
          <w:numId w:val="11"/>
        </w:numPr>
        <w:spacing w:before="0" w:beforeAutospacing="0" w:after="0" w:afterAutospacing="0" w:line="259" w:lineRule="auto"/>
        <w:ind w:hanging="720"/>
        <w:jc w:val="both"/>
        <w:rPr>
          <w:rFonts w:ascii="Arial" w:hAnsi="Arial" w:cs="Arial"/>
          <w:color w:val="191919"/>
          <w:sz w:val="22"/>
          <w:szCs w:val="22"/>
        </w:rPr>
      </w:pPr>
      <w:r w:rsidRPr="00A14595">
        <w:rPr>
          <w:rFonts w:ascii="Arial" w:hAnsi="Arial" w:cs="Arial"/>
          <w:color w:val="191919"/>
          <w:sz w:val="22"/>
          <w:szCs w:val="22"/>
        </w:rPr>
        <w:t>has a connected person not eligible under clauses (a) to (i).</w:t>
      </w:r>
    </w:p>
    <w:p w14:paraId="5A3D503B" w14:textId="77777777" w:rsidR="00B40FA0" w:rsidRPr="00A14595" w:rsidRDefault="00D95A34" w:rsidP="008C6FFD">
      <w:pPr>
        <w:pStyle w:val="NormalWeb"/>
        <w:spacing w:before="0" w:beforeAutospacing="0" w:after="0" w:afterAutospacing="0" w:line="259" w:lineRule="auto"/>
        <w:ind w:firstLine="709"/>
        <w:jc w:val="both"/>
        <w:rPr>
          <w:rFonts w:ascii="Arial" w:hAnsi="Arial" w:cs="Arial"/>
          <w:color w:val="191919"/>
          <w:sz w:val="22"/>
          <w:szCs w:val="22"/>
        </w:rPr>
      </w:pPr>
      <w:r w:rsidRPr="00A14595">
        <w:rPr>
          <w:rFonts w:ascii="Arial" w:hAnsi="Arial" w:cs="Arial"/>
          <w:color w:val="191919"/>
          <w:sz w:val="22"/>
          <w:szCs w:val="22"/>
        </w:rPr>
        <w:t>Explanation-</w:t>
      </w:r>
      <w:r w:rsidR="002857D9" w:rsidRPr="00A14595">
        <w:rPr>
          <w:rFonts w:ascii="Arial" w:hAnsi="Arial" w:cs="Arial"/>
          <w:color w:val="191919"/>
          <w:sz w:val="22"/>
          <w:szCs w:val="22"/>
        </w:rPr>
        <w:t xml:space="preserve"> “Connected Person” means the following</w:t>
      </w:r>
    </w:p>
    <w:p w14:paraId="7D3BCF22" w14:textId="77777777" w:rsidR="00D95A34" w:rsidRPr="00A14595" w:rsidRDefault="00B40FA0" w:rsidP="008C6FFD">
      <w:pPr>
        <w:pStyle w:val="NormalWeb"/>
        <w:numPr>
          <w:ilvl w:val="0"/>
          <w:numId w:val="12"/>
        </w:numPr>
        <w:spacing w:before="0" w:beforeAutospacing="0" w:after="0" w:afterAutospacing="0" w:line="259" w:lineRule="auto"/>
        <w:ind w:left="1418" w:hanging="709"/>
        <w:jc w:val="both"/>
        <w:rPr>
          <w:rFonts w:ascii="Arial" w:hAnsi="Arial" w:cs="Arial"/>
          <w:color w:val="191919"/>
          <w:sz w:val="22"/>
          <w:szCs w:val="22"/>
        </w:rPr>
      </w:pPr>
      <w:r w:rsidRPr="00A14595">
        <w:rPr>
          <w:rFonts w:ascii="Arial" w:hAnsi="Arial" w:cs="Arial"/>
          <w:color w:val="191919"/>
          <w:sz w:val="22"/>
          <w:szCs w:val="22"/>
        </w:rPr>
        <w:t>any person who is the promoter or in the management or control</w:t>
      </w:r>
      <w:r w:rsidR="00D95A34" w:rsidRPr="00A14595">
        <w:rPr>
          <w:rFonts w:ascii="Arial" w:hAnsi="Arial" w:cs="Arial"/>
          <w:color w:val="191919"/>
          <w:sz w:val="22"/>
          <w:szCs w:val="22"/>
        </w:rPr>
        <w:t xml:space="preserve"> of the resolution applicant; or</w:t>
      </w:r>
    </w:p>
    <w:p w14:paraId="7A86342C" w14:textId="77777777" w:rsidR="00D95A34" w:rsidRPr="00A14595" w:rsidRDefault="00B40FA0" w:rsidP="008C6FFD">
      <w:pPr>
        <w:pStyle w:val="NormalWeb"/>
        <w:numPr>
          <w:ilvl w:val="0"/>
          <w:numId w:val="12"/>
        </w:numPr>
        <w:spacing w:before="0" w:beforeAutospacing="0" w:after="0" w:afterAutospacing="0" w:line="259" w:lineRule="auto"/>
        <w:ind w:left="1418" w:hanging="709"/>
        <w:jc w:val="both"/>
        <w:rPr>
          <w:rFonts w:ascii="Arial" w:hAnsi="Arial" w:cs="Arial"/>
          <w:color w:val="191919"/>
          <w:sz w:val="22"/>
          <w:szCs w:val="22"/>
        </w:rPr>
      </w:pPr>
      <w:r w:rsidRPr="00A14595">
        <w:rPr>
          <w:rFonts w:ascii="Arial" w:hAnsi="Arial" w:cs="Arial"/>
          <w:color w:val="191919"/>
          <w:sz w:val="22"/>
          <w:szCs w:val="22"/>
        </w:rPr>
        <w:t>any person who shall be the promoter or in management or control of the business of the corporate debtor during the implementation of the resolution plan; or</w:t>
      </w:r>
    </w:p>
    <w:p w14:paraId="098C80B0" w14:textId="77777777" w:rsidR="00B40FA0" w:rsidRPr="00A14595" w:rsidRDefault="00B40FA0" w:rsidP="008C6FFD">
      <w:pPr>
        <w:pStyle w:val="NormalWeb"/>
        <w:numPr>
          <w:ilvl w:val="0"/>
          <w:numId w:val="12"/>
        </w:numPr>
        <w:spacing w:before="0" w:beforeAutospacing="0" w:after="0" w:afterAutospacing="0" w:line="259" w:lineRule="auto"/>
        <w:ind w:left="1418" w:hanging="709"/>
        <w:jc w:val="both"/>
        <w:rPr>
          <w:rFonts w:ascii="Arial" w:hAnsi="Arial" w:cs="Arial"/>
          <w:color w:val="191919"/>
          <w:sz w:val="22"/>
          <w:szCs w:val="22"/>
        </w:rPr>
      </w:pPr>
      <w:r w:rsidRPr="00A14595">
        <w:rPr>
          <w:rFonts w:ascii="Arial" w:hAnsi="Arial" w:cs="Arial"/>
          <w:color w:val="191919"/>
          <w:sz w:val="22"/>
          <w:szCs w:val="22"/>
        </w:rPr>
        <w:t>the holding company, subsidiary company, associate company or related party of a person referred to in clauses (i) and (ii).</w:t>
      </w:r>
    </w:p>
    <w:p w14:paraId="6E31876C" w14:textId="77777777" w:rsidR="00B40FA0" w:rsidRPr="00A14595" w:rsidRDefault="00B40FA0" w:rsidP="008C6FFD">
      <w:pPr>
        <w:pStyle w:val="NormalWeb"/>
        <w:spacing w:before="0" w:beforeAutospacing="0" w:after="0" w:afterAutospacing="0" w:line="259" w:lineRule="auto"/>
        <w:ind w:firstLine="709"/>
        <w:jc w:val="both"/>
        <w:rPr>
          <w:rFonts w:ascii="Arial" w:hAnsi="Arial" w:cs="Arial"/>
          <w:color w:val="191919"/>
          <w:sz w:val="22"/>
          <w:szCs w:val="22"/>
        </w:rPr>
      </w:pPr>
      <w:r w:rsidRPr="00A14595">
        <w:rPr>
          <w:rFonts w:ascii="Arial" w:hAnsi="Arial" w:cs="Arial"/>
          <w:color w:val="191919"/>
          <w:sz w:val="22"/>
          <w:szCs w:val="22"/>
        </w:rPr>
        <w:t>However, point (iii) above shall not be applicable to:</w:t>
      </w:r>
    </w:p>
    <w:p w14:paraId="7D252FDE" w14:textId="77777777" w:rsidR="00D95A34" w:rsidRPr="00A14595" w:rsidRDefault="00D95A34" w:rsidP="008C6FFD">
      <w:pPr>
        <w:pStyle w:val="NormalWeb"/>
        <w:numPr>
          <w:ilvl w:val="0"/>
          <w:numId w:val="13"/>
        </w:numPr>
        <w:spacing w:before="0" w:beforeAutospacing="0" w:after="0" w:afterAutospacing="0" w:line="259" w:lineRule="auto"/>
        <w:ind w:left="1418" w:hanging="709"/>
        <w:jc w:val="both"/>
        <w:rPr>
          <w:rFonts w:ascii="Arial" w:hAnsi="Arial" w:cs="Arial"/>
          <w:color w:val="191919"/>
          <w:sz w:val="22"/>
          <w:szCs w:val="22"/>
        </w:rPr>
      </w:pPr>
      <w:r w:rsidRPr="00A14595">
        <w:rPr>
          <w:rFonts w:ascii="Arial" w:hAnsi="Arial" w:cs="Arial"/>
          <w:color w:val="191919"/>
          <w:sz w:val="22"/>
          <w:szCs w:val="22"/>
        </w:rPr>
        <w:t>a scheduled bank; or</w:t>
      </w:r>
    </w:p>
    <w:p w14:paraId="16AA5EBF" w14:textId="77777777" w:rsidR="00D95A34" w:rsidRPr="00A14595" w:rsidRDefault="00B40FA0" w:rsidP="008C6FFD">
      <w:pPr>
        <w:pStyle w:val="NormalWeb"/>
        <w:numPr>
          <w:ilvl w:val="0"/>
          <w:numId w:val="13"/>
        </w:numPr>
        <w:spacing w:before="0" w:beforeAutospacing="0" w:after="0" w:afterAutospacing="0" w:line="259" w:lineRule="auto"/>
        <w:ind w:left="1418" w:hanging="709"/>
        <w:jc w:val="both"/>
        <w:rPr>
          <w:rFonts w:ascii="Arial" w:hAnsi="Arial" w:cs="Arial"/>
          <w:color w:val="191919"/>
          <w:sz w:val="22"/>
          <w:szCs w:val="22"/>
        </w:rPr>
      </w:pPr>
      <w:r w:rsidRPr="00A14595">
        <w:rPr>
          <w:rFonts w:ascii="Arial" w:hAnsi="Arial" w:cs="Arial"/>
          <w:color w:val="191919"/>
          <w:sz w:val="22"/>
          <w:szCs w:val="22"/>
        </w:rPr>
        <w:lastRenderedPageBreak/>
        <w:t xml:space="preserve">an asset reconstruction company registered with the </w:t>
      </w:r>
      <w:r w:rsidR="00D95A34" w:rsidRPr="00A14595">
        <w:rPr>
          <w:rFonts w:ascii="Arial" w:hAnsi="Arial" w:cs="Arial"/>
          <w:color w:val="191919"/>
          <w:sz w:val="22"/>
          <w:szCs w:val="22"/>
        </w:rPr>
        <w:t>RBI</w:t>
      </w:r>
      <w:r w:rsidRPr="00A14595">
        <w:rPr>
          <w:rFonts w:ascii="Arial" w:hAnsi="Arial" w:cs="Arial"/>
          <w:color w:val="191919"/>
          <w:sz w:val="22"/>
          <w:szCs w:val="22"/>
        </w:rPr>
        <w:t xml:space="preserve"> under section 3 of the Securitisation and Reconstruction of Financial Assets and Enforcement of Security Interest Act, 2002; or</w:t>
      </w:r>
    </w:p>
    <w:p w14:paraId="21018C0C" w14:textId="77777777" w:rsidR="00B40FA0" w:rsidRPr="00A14595" w:rsidRDefault="00B40FA0" w:rsidP="008C6FFD">
      <w:pPr>
        <w:pStyle w:val="NormalWeb"/>
        <w:numPr>
          <w:ilvl w:val="0"/>
          <w:numId w:val="13"/>
        </w:numPr>
        <w:spacing w:before="0" w:beforeAutospacing="0" w:after="0" w:afterAutospacing="0" w:line="259" w:lineRule="auto"/>
        <w:ind w:left="1418" w:hanging="709"/>
        <w:jc w:val="both"/>
        <w:rPr>
          <w:rFonts w:ascii="Arial" w:hAnsi="Arial" w:cs="Arial"/>
          <w:color w:val="191919"/>
          <w:sz w:val="22"/>
          <w:szCs w:val="22"/>
        </w:rPr>
      </w:pPr>
      <w:r w:rsidRPr="00A14595">
        <w:rPr>
          <w:rFonts w:ascii="Arial" w:hAnsi="Arial" w:cs="Arial"/>
          <w:color w:val="191919"/>
          <w:sz w:val="22"/>
          <w:szCs w:val="22"/>
        </w:rPr>
        <w:t>an Alternate Investment Fund</w:t>
      </w:r>
      <w:r w:rsidR="00D95A34" w:rsidRPr="00A14595">
        <w:rPr>
          <w:rFonts w:ascii="Arial" w:hAnsi="Arial" w:cs="Arial"/>
          <w:color w:val="191919"/>
          <w:sz w:val="22"/>
          <w:szCs w:val="22"/>
        </w:rPr>
        <w:t xml:space="preserve"> (</w:t>
      </w:r>
      <w:r w:rsidR="00D95A34" w:rsidRPr="00A14595">
        <w:rPr>
          <w:rFonts w:ascii="Arial" w:hAnsi="Arial" w:cs="Arial"/>
          <w:b/>
          <w:color w:val="191919"/>
          <w:sz w:val="22"/>
          <w:szCs w:val="22"/>
        </w:rPr>
        <w:t>AIF</w:t>
      </w:r>
      <w:r w:rsidR="00D95A34" w:rsidRPr="00A14595">
        <w:rPr>
          <w:rFonts w:ascii="Arial" w:hAnsi="Arial" w:cs="Arial"/>
          <w:color w:val="191919"/>
          <w:sz w:val="22"/>
          <w:szCs w:val="22"/>
        </w:rPr>
        <w:t>)</w:t>
      </w:r>
      <w:r w:rsidRPr="00A14595">
        <w:rPr>
          <w:rFonts w:ascii="Arial" w:hAnsi="Arial" w:cs="Arial"/>
          <w:color w:val="191919"/>
          <w:sz w:val="22"/>
          <w:szCs w:val="22"/>
        </w:rPr>
        <w:t xml:space="preserve"> registered with </w:t>
      </w:r>
      <w:r w:rsidR="00D95A34" w:rsidRPr="00A14595">
        <w:rPr>
          <w:rFonts w:ascii="Arial" w:hAnsi="Arial" w:cs="Arial"/>
          <w:color w:val="191919"/>
          <w:sz w:val="22"/>
          <w:szCs w:val="22"/>
        </w:rPr>
        <w:t>SEBI</w:t>
      </w:r>
    </w:p>
    <w:p w14:paraId="536666D9" w14:textId="77777777" w:rsidR="00897AA0" w:rsidRPr="00A14595" w:rsidRDefault="00897AA0" w:rsidP="008C6FFD">
      <w:pPr>
        <w:pStyle w:val="NormalWeb"/>
        <w:spacing w:before="0" w:beforeAutospacing="0" w:after="0" w:afterAutospacing="0" w:line="259" w:lineRule="auto"/>
        <w:jc w:val="both"/>
        <w:rPr>
          <w:rFonts w:ascii="Arial" w:hAnsi="Arial" w:cs="Arial"/>
          <w:color w:val="191919"/>
          <w:sz w:val="22"/>
          <w:szCs w:val="22"/>
        </w:rPr>
      </w:pPr>
    </w:p>
    <w:p w14:paraId="1A847F68" w14:textId="77777777" w:rsidR="00897AA0" w:rsidRPr="00A14595" w:rsidRDefault="00897AA0" w:rsidP="008C6FFD">
      <w:pPr>
        <w:pStyle w:val="ListParagraph"/>
        <w:numPr>
          <w:ilvl w:val="0"/>
          <w:numId w:val="8"/>
        </w:numPr>
        <w:spacing w:after="0" w:line="259" w:lineRule="auto"/>
        <w:ind w:left="709" w:hanging="709"/>
        <w:jc w:val="both"/>
        <w:rPr>
          <w:rFonts w:ascii="Arial" w:hAnsi="Arial" w:cs="Arial"/>
          <w:b/>
          <w:color w:val="191919"/>
          <w:u w:val="single"/>
          <w:shd w:val="clear" w:color="auto" w:fill="FFFFFF"/>
        </w:rPr>
      </w:pPr>
      <w:r w:rsidRPr="00A14595">
        <w:rPr>
          <w:rFonts w:ascii="Arial" w:hAnsi="Arial" w:cs="Arial"/>
          <w:b/>
          <w:color w:val="191919"/>
          <w:u w:val="single"/>
          <w:shd w:val="clear" w:color="auto" w:fill="FFFFFF"/>
        </w:rPr>
        <w:t>Submission of resolution plan</w:t>
      </w:r>
    </w:p>
    <w:p w14:paraId="681873D3" w14:textId="77777777" w:rsidR="00897AA0" w:rsidRPr="00A14595" w:rsidRDefault="00897AA0" w:rsidP="008C6FFD">
      <w:pPr>
        <w:autoSpaceDE w:val="0"/>
        <w:autoSpaceDN w:val="0"/>
        <w:adjustRightInd w:val="0"/>
        <w:spacing w:after="0" w:line="259" w:lineRule="auto"/>
        <w:jc w:val="both"/>
        <w:rPr>
          <w:rFonts w:ascii="Arial" w:hAnsi="Arial" w:cs="Arial"/>
          <w:color w:val="231F20"/>
        </w:rPr>
      </w:pPr>
    </w:p>
    <w:p w14:paraId="0D204497" w14:textId="77777777" w:rsidR="00897AA0" w:rsidRPr="00A14595" w:rsidRDefault="00897AA0" w:rsidP="008C6FFD">
      <w:pPr>
        <w:pStyle w:val="ListParagraph"/>
        <w:numPr>
          <w:ilvl w:val="0"/>
          <w:numId w:val="14"/>
        </w:numPr>
        <w:spacing w:after="0" w:line="259" w:lineRule="auto"/>
        <w:ind w:hanging="720"/>
        <w:jc w:val="both"/>
        <w:rPr>
          <w:rFonts w:ascii="Arial" w:hAnsi="Arial" w:cs="Arial"/>
          <w:color w:val="231F20"/>
        </w:rPr>
      </w:pPr>
      <w:r w:rsidRPr="00A14595">
        <w:rPr>
          <w:rFonts w:ascii="Arial" w:hAnsi="Arial" w:cs="Arial"/>
          <w:color w:val="231F20"/>
        </w:rPr>
        <w:t xml:space="preserve">The </w:t>
      </w:r>
      <w:proofErr w:type="spellStart"/>
      <w:r w:rsidR="00C136AC" w:rsidRPr="00A14595">
        <w:rPr>
          <w:rFonts w:ascii="Arial" w:hAnsi="Arial" w:cs="Arial"/>
          <w:color w:val="231F20"/>
        </w:rPr>
        <w:t>CoC</w:t>
      </w:r>
      <w:proofErr w:type="spellEnd"/>
      <w:r w:rsidRPr="00A14595">
        <w:rPr>
          <w:rFonts w:ascii="Arial" w:hAnsi="Arial" w:cs="Arial"/>
          <w:color w:val="231F20"/>
        </w:rPr>
        <w:t xml:space="preserve"> </w:t>
      </w:r>
      <w:r w:rsidR="00217F27" w:rsidRPr="00A14595">
        <w:rPr>
          <w:rFonts w:ascii="Arial" w:hAnsi="Arial" w:cs="Arial"/>
          <w:color w:val="231F20"/>
        </w:rPr>
        <w:t>would</w:t>
      </w:r>
      <w:r w:rsidRPr="00A14595">
        <w:rPr>
          <w:rFonts w:ascii="Arial" w:hAnsi="Arial" w:cs="Arial"/>
          <w:color w:val="231F20"/>
        </w:rPr>
        <w:t xml:space="preserve"> approve a resolution plan by vote of not less than seventy-five percent of voting share of the financial creditors, after considering its feasibility and viability, and such other requirements as may be specified by the IBBI.</w:t>
      </w:r>
    </w:p>
    <w:p w14:paraId="29F40DA7" w14:textId="77777777" w:rsidR="00217F27" w:rsidRPr="00A14595" w:rsidRDefault="00897AA0" w:rsidP="008C6FFD">
      <w:pPr>
        <w:pStyle w:val="ListParagraph"/>
        <w:numPr>
          <w:ilvl w:val="0"/>
          <w:numId w:val="14"/>
        </w:numPr>
        <w:spacing w:after="0" w:line="259" w:lineRule="auto"/>
        <w:ind w:hanging="720"/>
        <w:jc w:val="both"/>
        <w:rPr>
          <w:rFonts w:ascii="Arial" w:eastAsia="Times New Roman" w:hAnsi="Arial" w:cs="Arial"/>
          <w:color w:val="191919"/>
          <w:lang w:eastAsia="en-IN"/>
        </w:rPr>
      </w:pPr>
      <w:proofErr w:type="spellStart"/>
      <w:r w:rsidRPr="00A14595">
        <w:rPr>
          <w:rFonts w:ascii="Arial" w:hAnsi="Arial" w:cs="Arial"/>
          <w:color w:val="231F20"/>
        </w:rPr>
        <w:t>CoC</w:t>
      </w:r>
      <w:proofErr w:type="spellEnd"/>
      <w:r w:rsidRPr="00A14595">
        <w:rPr>
          <w:rFonts w:ascii="Arial" w:eastAsia="Times New Roman" w:hAnsi="Arial" w:cs="Arial"/>
          <w:color w:val="191919"/>
          <w:lang w:eastAsia="en-IN"/>
        </w:rPr>
        <w:t xml:space="preserve"> </w:t>
      </w:r>
      <w:r w:rsidR="00217F27" w:rsidRPr="00A14595">
        <w:rPr>
          <w:rFonts w:ascii="Arial" w:eastAsia="Times New Roman" w:hAnsi="Arial" w:cs="Arial"/>
          <w:color w:val="191919"/>
          <w:lang w:eastAsia="en-IN"/>
        </w:rPr>
        <w:t>would not</w:t>
      </w:r>
      <w:r w:rsidRPr="00A14595">
        <w:rPr>
          <w:rFonts w:ascii="Arial" w:eastAsia="Times New Roman" w:hAnsi="Arial" w:cs="Arial"/>
          <w:color w:val="191919"/>
          <w:lang w:eastAsia="en-IN"/>
        </w:rPr>
        <w:t xml:space="preserve"> approve a resolution plan submitted before the IBC (Amendment) Ordinance, 2017 if the </w:t>
      </w:r>
      <w:r w:rsidRPr="00A14595">
        <w:rPr>
          <w:rFonts w:ascii="Arial" w:hAnsi="Arial" w:cs="Arial"/>
          <w:color w:val="231F20"/>
        </w:rPr>
        <w:t>resolution</w:t>
      </w:r>
      <w:r w:rsidRPr="00A14595">
        <w:rPr>
          <w:rFonts w:ascii="Arial" w:eastAsia="Times New Roman" w:hAnsi="Arial" w:cs="Arial"/>
          <w:color w:val="191919"/>
          <w:lang w:eastAsia="en-IN"/>
        </w:rPr>
        <w:t xml:space="preserve"> </w:t>
      </w:r>
      <w:r w:rsidR="00C136AC" w:rsidRPr="00A14595">
        <w:rPr>
          <w:rFonts w:ascii="Arial" w:eastAsia="Times New Roman" w:hAnsi="Arial" w:cs="Arial"/>
          <w:color w:val="191919"/>
          <w:lang w:eastAsia="en-IN"/>
        </w:rPr>
        <w:t>applicant is ineligible under se</w:t>
      </w:r>
      <w:r w:rsidRPr="00A14595">
        <w:rPr>
          <w:rFonts w:ascii="Arial" w:eastAsia="Times New Roman" w:hAnsi="Arial" w:cs="Arial"/>
          <w:color w:val="191919"/>
          <w:lang w:eastAsia="en-IN"/>
        </w:rPr>
        <w:t xml:space="preserve">ction 29A and </w:t>
      </w:r>
      <w:r w:rsidR="00217F27" w:rsidRPr="00A14595">
        <w:rPr>
          <w:rFonts w:ascii="Arial" w:eastAsia="Times New Roman" w:hAnsi="Arial" w:cs="Arial"/>
          <w:color w:val="191919"/>
          <w:lang w:eastAsia="en-IN"/>
        </w:rPr>
        <w:t xml:space="preserve">the resolution professional would be required to invite fresh plan </w:t>
      </w:r>
      <w:r w:rsidRPr="00A14595">
        <w:rPr>
          <w:rFonts w:ascii="Arial" w:eastAsia="Times New Roman" w:hAnsi="Arial" w:cs="Arial"/>
          <w:color w:val="191919"/>
          <w:lang w:eastAsia="en-IN"/>
        </w:rPr>
        <w:t>if no other resolution plan is available</w:t>
      </w:r>
      <w:r w:rsidR="00217F27" w:rsidRPr="00A14595">
        <w:rPr>
          <w:rFonts w:ascii="Arial" w:eastAsia="Times New Roman" w:hAnsi="Arial" w:cs="Arial"/>
          <w:color w:val="191919"/>
          <w:lang w:eastAsia="en-IN"/>
        </w:rPr>
        <w:t>.</w:t>
      </w:r>
    </w:p>
    <w:p w14:paraId="12BC8D5F" w14:textId="77777777" w:rsidR="00D95A34" w:rsidRPr="00A14595" w:rsidRDefault="00217F27" w:rsidP="008C6FFD">
      <w:pPr>
        <w:pStyle w:val="ListParagraph"/>
        <w:numPr>
          <w:ilvl w:val="0"/>
          <w:numId w:val="14"/>
        </w:numPr>
        <w:spacing w:after="0" w:line="259" w:lineRule="auto"/>
        <w:ind w:hanging="720"/>
        <w:jc w:val="both"/>
        <w:rPr>
          <w:rFonts w:ascii="Arial" w:eastAsia="Times New Roman" w:hAnsi="Arial" w:cs="Arial"/>
          <w:color w:val="191919"/>
          <w:lang w:eastAsia="en-IN"/>
        </w:rPr>
      </w:pPr>
      <w:r w:rsidRPr="00A14595">
        <w:rPr>
          <w:rFonts w:ascii="Arial" w:eastAsia="Times New Roman" w:hAnsi="Arial" w:cs="Arial"/>
          <w:color w:val="191919"/>
          <w:lang w:eastAsia="en-IN"/>
        </w:rPr>
        <w:t xml:space="preserve">If the resolution applicant is ineligible to submit a resolution plan due to being classified as an NPA, then </w:t>
      </w:r>
      <w:r w:rsidRPr="00A14595">
        <w:rPr>
          <w:rFonts w:ascii="Arial" w:hAnsi="Arial" w:cs="Arial"/>
          <w:color w:val="231F20"/>
        </w:rPr>
        <w:t>resolution</w:t>
      </w:r>
      <w:r w:rsidRPr="00A14595">
        <w:rPr>
          <w:rFonts w:ascii="Arial" w:eastAsia="Times New Roman" w:hAnsi="Arial" w:cs="Arial"/>
          <w:color w:val="191919"/>
          <w:lang w:eastAsia="en-IN"/>
        </w:rPr>
        <w:t xml:space="preserve"> applicant would be allowed by </w:t>
      </w:r>
      <w:proofErr w:type="spellStart"/>
      <w:r w:rsidRPr="00A14595">
        <w:rPr>
          <w:rFonts w:ascii="Arial" w:eastAsia="Times New Roman" w:hAnsi="Arial" w:cs="Arial"/>
          <w:color w:val="191919"/>
          <w:lang w:eastAsia="en-IN"/>
        </w:rPr>
        <w:t>CoC</w:t>
      </w:r>
      <w:proofErr w:type="spellEnd"/>
      <w:r w:rsidRPr="00A14595">
        <w:rPr>
          <w:rFonts w:ascii="Arial" w:eastAsia="Times New Roman" w:hAnsi="Arial" w:cs="Arial"/>
          <w:color w:val="191919"/>
          <w:lang w:eastAsia="en-IN"/>
        </w:rPr>
        <w:t xml:space="preserve"> for a period of maximum 30 days to make payments of the overdue </w:t>
      </w:r>
      <w:r w:rsidRPr="00A14595">
        <w:rPr>
          <w:rFonts w:ascii="Arial" w:hAnsi="Arial" w:cs="Arial"/>
          <w:color w:val="231F20"/>
        </w:rPr>
        <w:t>amounts</w:t>
      </w:r>
      <w:r w:rsidR="005B0529">
        <w:rPr>
          <w:rFonts w:ascii="Arial" w:hAnsi="Arial" w:cs="Arial"/>
          <w:color w:val="231F20"/>
        </w:rPr>
        <w:t xml:space="preserve"> – and thereafter be eligible to submit a resolution plan</w:t>
      </w:r>
      <w:r w:rsidRPr="00A14595">
        <w:rPr>
          <w:rFonts w:ascii="Arial" w:eastAsia="Times New Roman" w:hAnsi="Arial" w:cs="Arial"/>
          <w:color w:val="191919"/>
          <w:lang w:eastAsia="en-IN"/>
        </w:rPr>
        <w:t xml:space="preserve">. However, such extension </w:t>
      </w:r>
      <w:r w:rsidR="00897AA0" w:rsidRPr="00A14595">
        <w:rPr>
          <w:rFonts w:ascii="Arial" w:hAnsi="Arial" w:cs="Arial"/>
          <w:color w:val="231F20"/>
        </w:rPr>
        <w:t xml:space="preserve">shall </w:t>
      </w:r>
      <w:r w:rsidRPr="00A14595">
        <w:rPr>
          <w:rFonts w:ascii="Arial" w:hAnsi="Arial" w:cs="Arial"/>
          <w:color w:val="231F20"/>
        </w:rPr>
        <w:t xml:space="preserve">not </w:t>
      </w:r>
      <w:r w:rsidR="00897AA0" w:rsidRPr="00A14595">
        <w:rPr>
          <w:rFonts w:ascii="Arial" w:hAnsi="Arial" w:cs="Arial"/>
          <w:color w:val="231F20"/>
        </w:rPr>
        <w:t>be construed as extension</w:t>
      </w:r>
      <w:r w:rsidRPr="00A14595">
        <w:rPr>
          <w:rFonts w:ascii="Arial" w:hAnsi="Arial" w:cs="Arial"/>
          <w:color w:val="231F20"/>
        </w:rPr>
        <w:t xml:space="preserve"> </w:t>
      </w:r>
      <w:r w:rsidR="00897AA0" w:rsidRPr="00A14595">
        <w:rPr>
          <w:rFonts w:ascii="Arial" w:hAnsi="Arial" w:cs="Arial"/>
          <w:color w:val="231F20"/>
        </w:rPr>
        <w:t xml:space="preserve">of period </w:t>
      </w:r>
      <w:r w:rsidRPr="00A14595">
        <w:rPr>
          <w:rFonts w:ascii="Arial" w:hAnsi="Arial" w:cs="Arial"/>
          <w:color w:val="231F20"/>
        </w:rPr>
        <w:t xml:space="preserve">of resolution process beyond prescribed period. </w:t>
      </w:r>
    </w:p>
    <w:p w14:paraId="668836D9" w14:textId="77777777" w:rsidR="00217F27" w:rsidRPr="00A14595" w:rsidRDefault="00217F27" w:rsidP="008C6FFD">
      <w:pPr>
        <w:autoSpaceDE w:val="0"/>
        <w:autoSpaceDN w:val="0"/>
        <w:adjustRightInd w:val="0"/>
        <w:spacing w:after="0" w:line="259" w:lineRule="auto"/>
        <w:jc w:val="both"/>
        <w:rPr>
          <w:rFonts w:ascii="Arial" w:hAnsi="Arial" w:cs="Arial"/>
          <w:color w:val="231F20"/>
        </w:rPr>
      </w:pPr>
    </w:p>
    <w:p w14:paraId="12AD0BA9" w14:textId="77777777" w:rsidR="00217F27" w:rsidRPr="00A14595" w:rsidRDefault="00217F27" w:rsidP="008C6FFD">
      <w:pPr>
        <w:pStyle w:val="ListParagraph"/>
        <w:numPr>
          <w:ilvl w:val="0"/>
          <w:numId w:val="8"/>
        </w:numPr>
        <w:spacing w:after="0" w:line="259" w:lineRule="auto"/>
        <w:ind w:left="709" w:hanging="709"/>
        <w:jc w:val="both"/>
        <w:rPr>
          <w:rFonts w:ascii="Arial" w:hAnsi="Arial" w:cs="Arial"/>
          <w:b/>
          <w:color w:val="191919"/>
          <w:u w:val="single"/>
          <w:shd w:val="clear" w:color="auto" w:fill="FFFFFF"/>
        </w:rPr>
      </w:pPr>
      <w:r w:rsidRPr="00A14595">
        <w:rPr>
          <w:rFonts w:ascii="Arial" w:hAnsi="Arial" w:cs="Arial"/>
          <w:b/>
          <w:color w:val="191919"/>
          <w:u w:val="single"/>
          <w:shd w:val="clear" w:color="auto" w:fill="FFFFFF"/>
        </w:rPr>
        <w:t>Powers and duties of liquidator</w:t>
      </w:r>
    </w:p>
    <w:p w14:paraId="13A50A4B" w14:textId="77777777" w:rsidR="00B40FA0" w:rsidRPr="00A14595" w:rsidRDefault="00B40FA0" w:rsidP="008C6FFD">
      <w:pPr>
        <w:autoSpaceDE w:val="0"/>
        <w:autoSpaceDN w:val="0"/>
        <w:adjustRightInd w:val="0"/>
        <w:spacing w:after="0" w:line="259" w:lineRule="auto"/>
        <w:ind w:left="709" w:hanging="709"/>
        <w:jc w:val="both"/>
        <w:rPr>
          <w:rFonts w:ascii="Arial" w:hAnsi="Arial" w:cs="Arial"/>
          <w:color w:val="231F20"/>
        </w:rPr>
      </w:pPr>
    </w:p>
    <w:p w14:paraId="3D88A60E" w14:textId="77777777" w:rsidR="00217F27" w:rsidRPr="00A14595" w:rsidRDefault="00C136AC" w:rsidP="008C6FFD">
      <w:pPr>
        <w:spacing w:after="0" w:line="259" w:lineRule="auto"/>
        <w:jc w:val="both"/>
        <w:rPr>
          <w:rFonts w:ascii="Arial" w:hAnsi="Arial" w:cs="Arial"/>
          <w:color w:val="191919"/>
        </w:rPr>
      </w:pPr>
      <w:r w:rsidRPr="00A14595">
        <w:rPr>
          <w:rFonts w:ascii="Arial" w:hAnsi="Arial" w:cs="Arial"/>
          <w:color w:val="191919"/>
        </w:rPr>
        <w:t>Section 35 of the Code is amended to b</w:t>
      </w:r>
      <w:r w:rsidR="00217F27" w:rsidRPr="00A14595">
        <w:rPr>
          <w:rFonts w:ascii="Arial" w:hAnsi="Arial" w:cs="Arial"/>
          <w:color w:val="191919"/>
        </w:rPr>
        <w:t xml:space="preserve">ar </w:t>
      </w:r>
      <w:r w:rsidR="005B0529">
        <w:rPr>
          <w:rFonts w:ascii="Arial" w:hAnsi="Arial" w:cs="Arial"/>
          <w:color w:val="191919"/>
        </w:rPr>
        <w:t xml:space="preserve">any </w:t>
      </w:r>
      <w:r w:rsidR="005B0529" w:rsidRPr="00A14595">
        <w:rPr>
          <w:rFonts w:ascii="Arial" w:hAnsi="Arial" w:cs="Arial"/>
          <w:color w:val="191919"/>
        </w:rPr>
        <w:t>person</w:t>
      </w:r>
      <w:r w:rsidR="005B0529">
        <w:rPr>
          <w:rFonts w:ascii="Arial" w:hAnsi="Arial" w:cs="Arial"/>
          <w:color w:val="191919"/>
        </w:rPr>
        <w:t xml:space="preserve"> who is</w:t>
      </w:r>
      <w:r w:rsidR="005B0529" w:rsidRPr="00A14595">
        <w:rPr>
          <w:rFonts w:ascii="Arial" w:hAnsi="Arial" w:cs="Arial"/>
          <w:color w:val="191919"/>
        </w:rPr>
        <w:t xml:space="preserve"> not eligible to be a resolution applicant</w:t>
      </w:r>
      <w:r w:rsidR="005B0529" w:rsidRPr="00A14595">
        <w:rPr>
          <w:rFonts w:ascii="Arial" w:hAnsi="Arial" w:cs="Arial"/>
          <w:color w:val="191919"/>
        </w:rPr>
        <w:t xml:space="preserve"> </w:t>
      </w:r>
      <w:r w:rsidR="005B0529">
        <w:rPr>
          <w:rFonts w:ascii="Arial" w:hAnsi="Arial" w:cs="Arial"/>
          <w:color w:val="191919"/>
        </w:rPr>
        <w:t xml:space="preserve">from purchasing any </w:t>
      </w:r>
      <w:r w:rsidR="00217F27" w:rsidRPr="00A14595">
        <w:rPr>
          <w:rFonts w:ascii="Arial" w:hAnsi="Arial" w:cs="Arial"/>
          <w:color w:val="191919"/>
        </w:rPr>
        <w:t>property or actionable claim of the corporate debtor.</w:t>
      </w:r>
    </w:p>
    <w:p w14:paraId="3E573383" w14:textId="77777777" w:rsidR="00C136AC" w:rsidRPr="00A14595" w:rsidRDefault="00C136AC" w:rsidP="008C6FFD">
      <w:pPr>
        <w:spacing w:after="0" w:line="259" w:lineRule="auto"/>
        <w:jc w:val="both"/>
        <w:rPr>
          <w:rFonts w:ascii="Arial" w:hAnsi="Arial" w:cs="Arial"/>
          <w:color w:val="191919"/>
        </w:rPr>
      </w:pPr>
    </w:p>
    <w:p w14:paraId="32600CEC" w14:textId="77777777" w:rsidR="00FC639C" w:rsidRPr="00A14595" w:rsidRDefault="00FC639C" w:rsidP="008C6FFD">
      <w:pPr>
        <w:pStyle w:val="ListParagraph"/>
        <w:numPr>
          <w:ilvl w:val="0"/>
          <w:numId w:val="8"/>
        </w:numPr>
        <w:spacing w:after="0" w:line="259" w:lineRule="auto"/>
        <w:ind w:left="709" w:hanging="709"/>
        <w:jc w:val="both"/>
        <w:rPr>
          <w:rFonts w:ascii="Arial" w:hAnsi="Arial" w:cs="Arial"/>
          <w:b/>
          <w:color w:val="191919"/>
          <w:u w:val="single"/>
        </w:rPr>
      </w:pPr>
      <w:r w:rsidRPr="00A14595">
        <w:rPr>
          <w:rFonts w:ascii="Arial" w:hAnsi="Arial" w:cs="Arial"/>
          <w:b/>
          <w:color w:val="191919"/>
          <w:u w:val="single"/>
          <w:shd w:val="clear" w:color="auto" w:fill="FFFFFF"/>
        </w:rPr>
        <w:t xml:space="preserve">Punishment </w:t>
      </w:r>
      <w:r w:rsidRPr="00A14595">
        <w:rPr>
          <w:rFonts w:ascii="Arial" w:hAnsi="Arial" w:cs="Arial"/>
          <w:b/>
          <w:color w:val="191919"/>
          <w:u w:val="single"/>
        </w:rPr>
        <w:t>where no specific penalty or punishment is provided.</w:t>
      </w:r>
    </w:p>
    <w:p w14:paraId="29DC7587" w14:textId="77777777" w:rsidR="00FC639C" w:rsidRPr="00A14595" w:rsidRDefault="00FC639C" w:rsidP="008C6FFD">
      <w:pPr>
        <w:spacing w:after="0" w:line="259" w:lineRule="auto"/>
        <w:jc w:val="both"/>
        <w:rPr>
          <w:rFonts w:ascii="Arial" w:hAnsi="Arial" w:cs="Arial"/>
          <w:color w:val="191919"/>
        </w:rPr>
      </w:pPr>
    </w:p>
    <w:p w14:paraId="099593F0" w14:textId="77777777" w:rsidR="00C136AC" w:rsidRPr="00A14595" w:rsidRDefault="00FC639C" w:rsidP="008C6FFD">
      <w:pPr>
        <w:spacing w:after="0" w:line="259" w:lineRule="auto"/>
        <w:jc w:val="both"/>
        <w:rPr>
          <w:rFonts w:ascii="Arial" w:hAnsi="Arial" w:cs="Arial"/>
        </w:rPr>
      </w:pPr>
      <w:r w:rsidRPr="00A14595">
        <w:rPr>
          <w:rFonts w:ascii="Arial" w:hAnsi="Arial" w:cs="Arial"/>
        </w:rPr>
        <w:t>Section 235A</w:t>
      </w:r>
      <w:r w:rsidR="003D54CB" w:rsidRPr="00A14595">
        <w:rPr>
          <w:rFonts w:ascii="Arial" w:hAnsi="Arial" w:cs="Arial"/>
        </w:rPr>
        <w:t xml:space="preserve"> provides for punishment with </w:t>
      </w:r>
      <w:r w:rsidR="00C136AC" w:rsidRPr="00A14595">
        <w:rPr>
          <w:rFonts w:ascii="Arial" w:hAnsi="Arial" w:cs="Arial"/>
        </w:rPr>
        <w:t xml:space="preserve">fine </w:t>
      </w:r>
      <w:r w:rsidR="00510627" w:rsidRPr="00A14595">
        <w:rPr>
          <w:rFonts w:ascii="Arial" w:hAnsi="Arial" w:cs="Arial"/>
        </w:rPr>
        <w:t>not</w:t>
      </w:r>
      <w:r w:rsidR="003D54CB" w:rsidRPr="00A14595">
        <w:rPr>
          <w:rFonts w:ascii="Arial" w:hAnsi="Arial" w:cs="Arial"/>
        </w:rPr>
        <w:t xml:space="preserve"> less than one lakh </w:t>
      </w:r>
      <w:r w:rsidR="00510627" w:rsidRPr="00A14595">
        <w:rPr>
          <w:rFonts w:ascii="Arial" w:hAnsi="Arial" w:cs="Arial"/>
        </w:rPr>
        <w:t>rupees,</w:t>
      </w:r>
      <w:r w:rsidR="003D54CB" w:rsidRPr="00A14595">
        <w:rPr>
          <w:rFonts w:ascii="Arial" w:hAnsi="Arial" w:cs="Arial"/>
        </w:rPr>
        <w:t xml:space="preserve"> extend</w:t>
      </w:r>
      <w:r w:rsidR="00510627" w:rsidRPr="00A14595">
        <w:rPr>
          <w:rFonts w:ascii="Arial" w:hAnsi="Arial" w:cs="Arial"/>
        </w:rPr>
        <w:t>able</w:t>
      </w:r>
      <w:r w:rsidR="003D54CB" w:rsidRPr="00A14595">
        <w:rPr>
          <w:rFonts w:ascii="Arial" w:hAnsi="Arial" w:cs="Arial"/>
        </w:rPr>
        <w:t xml:space="preserve"> to two crore rupees in cases where no specific penalty or punishment is provided.</w:t>
      </w:r>
    </w:p>
    <w:p w14:paraId="4A591423" w14:textId="77777777" w:rsidR="00FC639C" w:rsidRPr="00A14595" w:rsidRDefault="003D54CB" w:rsidP="008C6FFD">
      <w:pPr>
        <w:spacing w:after="0" w:line="259" w:lineRule="auto"/>
        <w:jc w:val="both"/>
        <w:rPr>
          <w:rFonts w:ascii="Arial" w:hAnsi="Arial" w:cs="Arial"/>
        </w:rPr>
      </w:pPr>
      <w:r w:rsidRPr="00A14595">
        <w:rPr>
          <w:rFonts w:ascii="Arial" w:hAnsi="Arial" w:cs="Arial"/>
        </w:rPr>
        <w:t xml:space="preserve"> </w:t>
      </w:r>
    </w:p>
    <w:p w14:paraId="56665429" w14:textId="77777777" w:rsidR="00FC639C" w:rsidRPr="00A14595" w:rsidRDefault="00FC639C" w:rsidP="008C6FFD">
      <w:pPr>
        <w:pStyle w:val="ListParagraph"/>
        <w:numPr>
          <w:ilvl w:val="0"/>
          <w:numId w:val="8"/>
        </w:numPr>
        <w:spacing w:after="0" w:line="259" w:lineRule="auto"/>
        <w:ind w:left="709" w:hanging="709"/>
        <w:jc w:val="both"/>
        <w:rPr>
          <w:rFonts w:ascii="Arial" w:hAnsi="Arial" w:cs="Arial"/>
          <w:b/>
          <w:color w:val="191919"/>
          <w:u w:val="single"/>
          <w:shd w:val="clear" w:color="auto" w:fill="FFFFFF"/>
        </w:rPr>
      </w:pPr>
      <w:r w:rsidRPr="00A14595">
        <w:rPr>
          <w:rFonts w:ascii="Arial" w:hAnsi="Arial" w:cs="Arial"/>
          <w:b/>
          <w:color w:val="191919"/>
          <w:u w:val="single"/>
          <w:shd w:val="clear" w:color="auto" w:fill="FFFFFF"/>
        </w:rPr>
        <w:t xml:space="preserve">Power to make </w:t>
      </w:r>
      <w:r w:rsidR="00C136AC" w:rsidRPr="00A14595">
        <w:rPr>
          <w:rFonts w:ascii="Arial" w:hAnsi="Arial" w:cs="Arial"/>
          <w:b/>
          <w:color w:val="191919"/>
          <w:u w:val="single"/>
          <w:shd w:val="clear" w:color="auto" w:fill="FFFFFF"/>
        </w:rPr>
        <w:t>regulations</w:t>
      </w:r>
    </w:p>
    <w:p w14:paraId="2EB793BE" w14:textId="77777777" w:rsidR="00C136AC" w:rsidRPr="00A14595" w:rsidRDefault="00C136AC" w:rsidP="008C6FFD">
      <w:pPr>
        <w:spacing w:after="0" w:line="259" w:lineRule="auto"/>
        <w:jc w:val="both"/>
        <w:rPr>
          <w:rFonts w:ascii="Arial" w:hAnsi="Arial" w:cs="Arial"/>
          <w:b/>
          <w:color w:val="191919"/>
          <w:u w:val="single"/>
          <w:shd w:val="clear" w:color="auto" w:fill="FFFFFF"/>
        </w:rPr>
      </w:pPr>
    </w:p>
    <w:p w14:paraId="53ABBA9C" w14:textId="77777777" w:rsidR="00C136AC" w:rsidRPr="00A14595" w:rsidRDefault="00C136AC" w:rsidP="008C6FFD">
      <w:pPr>
        <w:spacing w:after="0" w:line="259" w:lineRule="auto"/>
        <w:jc w:val="both"/>
        <w:rPr>
          <w:rFonts w:ascii="Arial" w:hAnsi="Arial" w:cs="Arial"/>
          <w:color w:val="191919"/>
        </w:rPr>
      </w:pPr>
      <w:r w:rsidRPr="00A14595">
        <w:rPr>
          <w:rFonts w:ascii="Arial" w:hAnsi="Arial" w:cs="Arial"/>
          <w:color w:val="191919"/>
        </w:rPr>
        <w:t>IBBI is provided power for making regulations under Section 25(2)(h) and Section 30(4) of the Code.</w:t>
      </w:r>
    </w:p>
    <w:p w14:paraId="7E22E3A9" w14:textId="77777777" w:rsidR="008C6FFD" w:rsidRPr="00A14595" w:rsidRDefault="008C6FFD" w:rsidP="00A14595">
      <w:pPr>
        <w:spacing w:after="0" w:line="259" w:lineRule="auto"/>
        <w:jc w:val="both"/>
        <w:rPr>
          <w:rFonts w:ascii="Arial" w:hAnsi="Arial" w:cs="Arial"/>
          <w:color w:val="191919"/>
        </w:rPr>
      </w:pPr>
    </w:p>
    <w:p w14:paraId="1B84C74D" w14:textId="77777777" w:rsidR="00A14595" w:rsidRPr="00A14595" w:rsidRDefault="008C6FFD" w:rsidP="00A14595">
      <w:pPr>
        <w:autoSpaceDE w:val="0"/>
        <w:autoSpaceDN w:val="0"/>
        <w:adjustRightInd w:val="0"/>
        <w:spacing w:after="0" w:line="240" w:lineRule="auto"/>
        <w:jc w:val="both"/>
        <w:rPr>
          <w:rFonts w:ascii="Arial" w:hAnsi="Arial" w:cs="Arial"/>
          <w:color w:val="191919"/>
        </w:rPr>
      </w:pPr>
      <w:r w:rsidRPr="00A14595">
        <w:rPr>
          <w:rFonts w:ascii="Arial" w:hAnsi="Arial" w:cs="Arial"/>
          <w:color w:val="191919"/>
        </w:rPr>
        <w:t>Basis the above mentioned prov</w:t>
      </w:r>
      <w:r w:rsidR="00A14595" w:rsidRPr="00A14595">
        <w:rPr>
          <w:rFonts w:ascii="Arial" w:hAnsi="Arial" w:cs="Arial"/>
          <w:color w:val="191919"/>
        </w:rPr>
        <w:t xml:space="preserve">isions it appears that the </w:t>
      </w:r>
      <w:r w:rsidRPr="00A14595">
        <w:rPr>
          <w:rFonts w:ascii="Arial" w:hAnsi="Arial" w:cs="Arial"/>
          <w:color w:val="191919"/>
        </w:rPr>
        <w:t xml:space="preserve">objective of the Amendment Act is </w:t>
      </w:r>
      <w:r w:rsidR="00A14595" w:rsidRPr="00A14595">
        <w:rPr>
          <w:rFonts w:ascii="Arial" w:hAnsi="Arial" w:cs="Arial"/>
          <w:color w:val="191919"/>
        </w:rPr>
        <w:t xml:space="preserve">to </w:t>
      </w:r>
      <w:r w:rsidRPr="00A14595">
        <w:rPr>
          <w:rFonts w:ascii="Arial" w:hAnsi="Arial" w:cs="Arial"/>
          <w:color w:val="231F20"/>
        </w:rPr>
        <w:t>facilitate phased implementation of the provisions of the Code to corporate persons, in</w:t>
      </w:r>
      <w:r w:rsidR="00A14595" w:rsidRPr="00A14595">
        <w:rPr>
          <w:rFonts w:ascii="Arial" w:hAnsi="Arial" w:cs="Arial"/>
          <w:color w:val="231F20"/>
        </w:rPr>
        <w:t xml:space="preserve">dividuals and partnership firms, </w:t>
      </w:r>
      <w:r w:rsidRPr="00A14595">
        <w:rPr>
          <w:rFonts w:ascii="Arial" w:hAnsi="Arial" w:cs="Arial"/>
          <w:color w:val="231F20"/>
        </w:rPr>
        <w:t>provide clarity as to the persons who can submit a resolution plan in response to an invitation made</w:t>
      </w:r>
      <w:r w:rsidR="00A14595" w:rsidRPr="00A14595">
        <w:rPr>
          <w:rFonts w:ascii="Arial" w:hAnsi="Arial" w:cs="Arial"/>
          <w:color w:val="231F20"/>
        </w:rPr>
        <w:t xml:space="preserve"> by the resolution professional, </w:t>
      </w:r>
      <w:r w:rsidRPr="00A14595">
        <w:rPr>
          <w:rFonts w:ascii="Arial" w:hAnsi="Arial" w:cs="Arial"/>
          <w:color w:val="231F20"/>
        </w:rPr>
        <w:t>ena</w:t>
      </w:r>
      <w:r w:rsidR="00A14595">
        <w:rPr>
          <w:rFonts w:ascii="Arial" w:hAnsi="Arial" w:cs="Arial"/>
          <w:color w:val="231F20"/>
        </w:rPr>
        <w:t>ble the resolution professional</w:t>
      </w:r>
      <w:r w:rsidRPr="00A14595">
        <w:rPr>
          <w:rFonts w:ascii="Arial" w:hAnsi="Arial" w:cs="Arial"/>
          <w:color w:val="231F20"/>
        </w:rPr>
        <w:t xml:space="preserve"> to specify the eligibility conditions while inviting resolution plans from prospective resolution applicants</w:t>
      </w:r>
      <w:r w:rsidR="00A14595" w:rsidRPr="00A14595">
        <w:rPr>
          <w:rFonts w:ascii="Arial" w:hAnsi="Arial" w:cs="Arial"/>
          <w:color w:val="231F20"/>
        </w:rPr>
        <w:t xml:space="preserve"> and </w:t>
      </w:r>
      <w:r w:rsidRPr="00A14595">
        <w:rPr>
          <w:rFonts w:ascii="Arial" w:hAnsi="Arial" w:cs="Arial"/>
          <w:color w:val="231F20"/>
        </w:rPr>
        <w:t>provide for making certain persons ineligible f</w:t>
      </w:r>
      <w:r w:rsidR="00A14595" w:rsidRPr="00A14595">
        <w:rPr>
          <w:rFonts w:ascii="Arial" w:hAnsi="Arial" w:cs="Arial"/>
          <w:color w:val="231F20"/>
        </w:rPr>
        <w:t>or being a resolution applicant.</w:t>
      </w:r>
    </w:p>
    <w:sectPr w:rsidR="00A14595" w:rsidRPr="00A14595" w:rsidSect="00BB3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3C53"/>
    <w:multiLevelType w:val="hybridMultilevel"/>
    <w:tmpl w:val="F49EF94A"/>
    <w:lvl w:ilvl="0" w:tplc="E562A384">
      <w:start w:val="1"/>
      <w:numFmt w:val="lowerRoman"/>
      <w:lvlText w:val="(%1)"/>
      <w:lvlJc w:val="left"/>
      <w:pPr>
        <w:ind w:left="360" w:hanging="360"/>
      </w:pPr>
      <w:rPr>
        <w:rFonts w:hint="default"/>
      </w:r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
    <w:nsid w:val="01456DC3"/>
    <w:multiLevelType w:val="hybridMultilevel"/>
    <w:tmpl w:val="39E44738"/>
    <w:lvl w:ilvl="0" w:tplc="E562A384">
      <w:start w:val="1"/>
      <w:numFmt w:val="lowerRoman"/>
      <w:lvlText w:val="(%1)"/>
      <w:lvlJc w:val="left"/>
      <w:pPr>
        <w:ind w:left="2205" w:hanging="360"/>
      </w:pPr>
      <w:rPr>
        <w:rFonts w:hint="default"/>
      </w:rPr>
    </w:lvl>
    <w:lvl w:ilvl="1" w:tplc="40090019" w:tentative="1">
      <w:start w:val="1"/>
      <w:numFmt w:val="lowerLetter"/>
      <w:lvlText w:val="%2."/>
      <w:lvlJc w:val="left"/>
      <w:pPr>
        <w:ind w:left="2925" w:hanging="360"/>
      </w:pPr>
    </w:lvl>
    <w:lvl w:ilvl="2" w:tplc="4009001B" w:tentative="1">
      <w:start w:val="1"/>
      <w:numFmt w:val="lowerRoman"/>
      <w:lvlText w:val="%3."/>
      <w:lvlJc w:val="right"/>
      <w:pPr>
        <w:ind w:left="3645" w:hanging="180"/>
      </w:pPr>
    </w:lvl>
    <w:lvl w:ilvl="3" w:tplc="4009000F" w:tentative="1">
      <w:start w:val="1"/>
      <w:numFmt w:val="decimal"/>
      <w:lvlText w:val="%4."/>
      <w:lvlJc w:val="left"/>
      <w:pPr>
        <w:ind w:left="4365" w:hanging="360"/>
      </w:pPr>
    </w:lvl>
    <w:lvl w:ilvl="4" w:tplc="40090019" w:tentative="1">
      <w:start w:val="1"/>
      <w:numFmt w:val="lowerLetter"/>
      <w:lvlText w:val="%5."/>
      <w:lvlJc w:val="left"/>
      <w:pPr>
        <w:ind w:left="5085" w:hanging="360"/>
      </w:pPr>
    </w:lvl>
    <w:lvl w:ilvl="5" w:tplc="4009001B" w:tentative="1">
      <w:start w:val="1"/>
      <w:numFmt w:val="lowerRoman"/>
      <w:lvlText w:val="%6."/>
      <w:lvlJc w:val="right"/>
      <w:pPr>
        <w:ind w:left="5805" w:hanging="180"/>
      </w:pPr>
    </w:lvl>
    <w:lvl w:ilvl="6" w:tplc="4009000F" w:tentative="1">
      <w:start w:val="1"/>
      <w:numFmt w:val="decimal"/>
      <w:lvlText w:val="%7."/>
      <w:lvlJc w:val="left"/>
      <w:pPr>
        <w:ind w:left="6525" w:hanging="360"/>
      </w:pPr>
    </w:lvl>
    <w:lvl w:ilvl="7" w:tplc="40090019" w:tentative="1">
      <w:start w:val="1"/>
      <w:numFmt w:val="lowerLetter"/>
      <w:lvlText w:val="%8."/>
      <w:lvlJc w:val="left"/>
      <w:pPr>
        <w:ind w:left="7245" w:hanging="360"/>
      </w:pPr>
    </w:lvl>
    <w:lvl w:ilvl="8" w:tplc="4009001B" w:tentative="1">
      <w:start w:val="1"/>
      <w:numFmt w:val="lowerRoman"/>
      <w:lvlText w:val="%9."/>
      <w:lvlJc w:val="right"/>
      <w:pPr>
        <w:ind w:left="7965" w:hanging="180"/>
      </w:pPr>
    </w:lvl>
  </w:abstractNum>
  <w:abstractNum w:abstractNumId="2">
    <w:nsid w:val="06052BF1"/>
    <w:multiLevelType w:val="hybridMultilevel"/>
    <w:tmpl w:val="137E43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0E1F12"/>
    <w:multiLevelType w:val="multilevel"/>
    <w:tmpl w:val="772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909C7"/>
    <w:multiLevelType w:val="hybridMultilevel"/>
    <w:tmpl w:val="7AD4A284"/>
    <w:lvl w:ilvl="0" w:tplc="E562A38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CB75F4"/>
    <w:multiLevelType w:val="hybridMultilevel"/>
    <w:tmpl w:val="C2802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62763D4"/>
    <w:multiLevelType w:val="hybridMultilevel"/>
    <w:tmpl w:val="F49EF94A"/>
    <w:lvl w:ilvl="0" w:tplc="E562A384">
      <w:start w:val="1"/>
      <w:numFmt w:val="lowerRoman"/>
      <w:lvlText w:val="(%1)"/>
      <w:lvlJc w:val="left"/>
      <w:pPr>
        <w:ind w:left="720" w:hanging="36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abstractNum w:abstractNumId="7">
    <w:nsid w:val="2F7B485E"/>
    <w:multiLevelType w:val="hybridMultilevel"/>
    <w:tmpl w:val="03647D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1E4133"/>
    <w:multiLevelType w:val="hybridMultilevel"/>
    <w:tmpl w:val="3A9E12F0"/>
    <w:lvl w:ilvl="0" w:tplc="CB8687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D502D77"/>
    <w:multiLevelType w:val="hybridMultilevel"/>
    <w:tmpl w:val="B218B2B2"/>
    <w:lvl w:ilvl="0" w:tplc="E562A38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5DC22327"/>
    <w:multiLevelType w:val="hybridMultilevel"/>
    <w:tmpl w:val="6A4A06A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661620B5"/>
    <w:multiLevelType w:val="hybridMultilevel"/>
    <w:tmpl w:val="AA7A7A86"/>
    <w:lvl w:ilvl="0" w:tplc="E562A384">
      <w:start w:val="1"/>
      <w:numFmt w:val="lowerRoman"/>
      <w:lvlText w:val="(%1)"/>
      <w:lvlJc w:val="left"/>
      <w:pPr>
        <w:ind w:left="1485" w:hanging="72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2">
    <w:nsid w:val="734A3BB6"/>
    <w:multiLevelType w:val="hybridMultilevel"/>
    <w:tmpl w:val="D6DEA1F0"/>
    <w:lvl w:ilvl="0" w:tplc="40090015">
      <w:start w:val="1"/>
      <w:numFmt w:val="upperLetter"/>
      <w:lvlText w:val="%1."/>
      <w:lvlJc w:val="left"/>
      <w:pPr>
        <w:ind w:left="1069" w:hanging="360"/>
      </w:p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742042F0"/>
    <w:multiLevelType w:val="hybridMultilevel"/>
    <w:tmpl w:val="588A05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B4D7C84"/>
    <w:multiLevelType w:val="hybridMultilevel"/>
    <w:tmpl w:val="F49EF94A"/>
    <w:lvl w:ilvl="0" w:tplc="E562A384">
      <w:start w:val="1"/>
      <w:numFmt w:val="lowerRoman"/>
      <w:lvlText w:val="(%1)"/>
      <w:lvlJc w:val="left"/>
      <w:pPr>
        <w:ind w:left="720" w:hanging="36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abstractNum w:abstractNumId="15">
    <w:nsid w:val="7DE04E95"/>
    <w:multiLevelType w:val="hybridMultilevel"/>
    <w:tmpl w:val="DB9C74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5"/>
  </w:num>
  <w:num w:numId="4">
    <w:abstractNumId w:val="13"/>
  </w:num>
  <w:num w:numId="5">
    <w:abstractNumId w:val="11"/>
  </w:num>
  <w:num w:numId="6">
    <w:abstractNumId w:val="1"/>
  </w:num>
  <w:num w:numId="7">
    <w:abstractNumId w:val="0"/>
  </w:num>
  <w:num w:numId="8">
    <w:abstractNumId w:val="10"/>
  </w:num>
  <w:num w:numId="9">
    <w:abstractNumId w:val="3"/>
  </w:num>
  <w:num w:numId="10">
    <w:abstractNumId w:val="6"/>
  </w:num>
  <w:num w:numId="11">
    <w:abstractNumId w:val="7"/>
  </w:num>
  <w:num w:numId="12">
    <w:abstractNumId w:val="4"/>
  </w:num>
  <w:num w:numId="13">
    <w:abstractNumId w:val="12"/>
  </w:num>
  <w:num w:numId="14">
    <w:abstractNumId w:val="1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92"/>
    <w:rsid w:val="00217F27"/>
    <w:rsid w:val="0022460A"/>
    <w:rsid w:val="002857D9"/>
    <w:rsid w:val="002C50AC"/>
    <w:rsid w:val="003D54CB"/>
    <w:rsid w:val="003F5011"/>
    <w:rsid w:val="003F7476"/>
    <w:rsid w:val="00467B98"/>
    <w:rsid w:val="00471764"/>
    <w:rsid w:val="004F4EEB"/>
    <w:rsid w:val="00510627"/>
    <w:rsid w:val="005970BD"/>
    <w:rsid w:val="005B0529"/>
    <w:rsid w:val="00725D21"/>
    <w:rsid w:val="008120A5"/>
    <w:rsid w:val="00897AA0"/>
    <w:rsid w:val="008B64A9"/>
    <w:rsid w:val="008C6FFD"/>
    <w:rsid w:val="00995692"/>
    <w:rsid w:val="009B59CF"/>
    <w:rsid w:val="00A14595"/>
    <w:rsid w:val="00B40FA0"/>
    <w:rsid w:val="00BB367B"/>
    <w:rsid w:val="00C136AC"/>
    <w:rsid w:val="00D95A34"/>
    <w:rsid w:val="00DA449F"/>
    <w:rsid w:val="00E85B91"/>
    <w:rsid w:val="00EF4918"/>
    <w:rsid w:val="00F86CB9"/>
    <w:rsid w:val="00FC1CCD"/>
    <w:rsid w:val="00FC639C"/>
  </w:rsids>
  <m:mathPr>
    <m:mathFont m:val="Cambria Math"/>
    <m:brkBin m:val="before"/>
    <m:brkBinSub m:val="--"/>
    <m:smallFrac m:val="0"/>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3435"/>
  <w15:docId w15:val="{506306F0-257E-472F-A35F-01C992FB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67B"/>
  </w:style>
  <w:style w:type="paragraph" w:styleId="Heading2">
    <w:name w:val="heading 2"/>
    <w:basedOn w:val="Normal"/>
    <w:next w:val="Normal"/>
    <w:link w:val="Heading2Char"/>
    <w:uiPriority w:val="9"/>
    <w:semiHidden/>
    <w:unhideWhenUsed/>
    <w:qFormat/>
    <w:rsid w:val="00FC1C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C1CCD"/>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92"/>
    <w:pPr>
      <w:ind w:left="720"/>
      <w:contextualSpacing/>
    </w:pPr>
  </w:style>
  <w:style w:type="paragraph" w:styleId="NormalWeb">
    <w:name w:val="Normal (Web)"/>
    <w:basedOn w:val="Normal"/>
    <w:uiPriority w:val="99"/>
    <w:semiHidden/>
    <w:unhideWhenUsed/>
    <w:rsid w:val="0047176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text">
    <w:name w:val="bodytext"/>
    <w:basedOn w:val="Normal"/>
    <w:rsid w:val="0047176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FC1CCD"/>
    <w:rPr>
      <w:rFonts w:ascii="Times New Roman" w:eastAsia="Times New Roman" w:hAnsi="Times New Roman" w:cs="Times New Roman"/>
      <w:b/>
      <w:bCs/>
      <w:sz w:val="24"/>
      <w:szCs w:val="24"/>
      <w:lang w:eastAsia="en-IN"/>
    </w:rPr>
  </w:style>
  <w:style w:type="character" w:styleId="Hyperlink">
    <w:name w:val="Hyperlink"/>
    <w:basedOn w:val="DefaultParagraphFont"/>
    <w:uiPriority w:val="99"/>
    <w:semiHidden/>
    <w:unhideWhenUsed/>
    <w:rsid w:val="00FC1CCD"/>
    <w:rPr>
      <w:color w:val="0000FF"/>
      <w:u w:val="single"/>
    </w:rPr>
  </w:style>
  <w:style w:type="character" w:customStyle="1" w:styleId="Heading2Char">
    <w:name w:val="Heading 2 Char"/>
    <w:basedOn w:val="DefaultParagraphFont"/>
    <w:link w:val="Heading2"/>
    <w:uiPriority w:val="9"/>
    <w:semiHidden/>
    <w:rsid w:val="00FC1CC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1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606">
      <w:bodyDiv w:val="1"/>
      <w:marLeft w:val="0"/>
      <w:marRight w:val="0"/>
      <w:marTop w:val="0"/>
      <w:marBottom w:val="0"/>
      <w:divBdr>
        <w:top w:val="none" w:sz="0" w:space="0" w:color="auto"/>
        <w:left w:val="none" w:sz="0" w:space="0" w:color="auto"/>
        <w:bottom w:val="none" w:sz="0" w:space="0" w:color="auto"/>
        <w:right w:val="none" w:sz="0" w:space="0" w:color="auto"/>
      </w:divBdr>
    </w:div>
    <w:div w:id="866140162">
      <w:bodyDiv w:val="1"/>
      <w:marLeft w:val="0"/>
      <w:marRight w:val="0"/>
      <w:marTop w:val="0"/>
      <w:marBottom w:val="0"/>
      <w:divBdr>
        <w:top w:val="none" w:sz="0" w:space="0" w:color="auto"/>
        <w:left w:val="none" w:sz="0" w:space="0" w:color="auto"/>
        <w:bottom w:val="none" w:sz="0" w:space="0" w:color="auto"/>
        <w:right w:val="none" w:sz="0" w:space="0" w:color="auto"/>
      </w:divBdr>
    </w:div>
    <w:div w:id="883905728">
      <w:bodyDiv w:val="1"/>
      <w:marLeft w:val="0"/>
      <w:marRight w:val="0"/>
      <w:marTop w:val="0"/>
      <w:marBottom w:val="0"/>
      <w:divBdr>
        <w:top w:val="none" w:sz="0" w:space="0" w:color="auto"/>
        <w:left w:val="none" w:sz="0" w:space="0" w:color="auto"/>
        <w:bottom w:val="none" w:sz="0" w:space="0" w:color="auto"/>
        <w:right w:val="none" w:sz="0" w:space="0" w:color="auto"/>
      </w:divBdr>
    </w:div>
    <w:div w:id="931625421">
      <w:bodyDiv w:val="1"/>
      <w:marLeft w:val="0"/>
      <w:marRight w:val="0"/>
      <w:marTop w:val="0"/>
      <w:marBottom w:val="0"/>
      <w:divBdr>
        <w:top w:val="none" w:sz="0" w:space="0" w:color="auto"/>
        <w:left w:val="none" w:sz="0" w:space="0" w:color="auto"/>
        <w:bottom w:val="none" w:sz="0" w:space="0" w:color="auto"/>
        <w:right w:val="none" w:sz="0" w:space="0" w:color="auto"/>
      </w:divBdr>
    </w:div>
    <w:div w:id="1006861127">
      <w:bodyDiv w:val="1"/>
      <w:marLeft w:val="0"/>
      <w:marRight w:val="0"/>
      <w:marTop w:val="0"/>
      <w:marBottom w:val="0"/>
      <w:divBdr>
        <w:top w:val="none" w:sz="0" w:space="0" w:color="auto"/>
        <w:left w:val="none" w:sz="0" w:space="0" w:color="auto"/>
        <w:bottom w:val="none" w:sz="0" w:space="0" w:color="auto"/>
        <w:right w:val="none" w:sz="0" w:space="0" w:color="auto"/>
      </w:divBdr>
    </w:div>
    <w:div w:id="20932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1235</Words>
  <Characters>7042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Shivangi</dc:creator>
  <cp:lastModifiedBy>Abhishek Dutta</cp:lastModifiedBy>
  <cp:revision>2</cp:revision>
  <cp:lastPrinted>2018-02-07T14:03:00Z</cp:lastPrinted>
  <dcterms:created xsi:type="dcterms:W3CDTF">2018-02-07T14:26:00Z</dcterms:created>
  <dcterms:modified xsi:type="dcterms:W3CDTF">2018-02-07T14:26:00Z</dcterms:modified>
</cp:coreProperties>
</file>